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1"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January 31, 2021</w:t>
      </w:r>
    </w:p>
    <w:p>
      <w:pPr>
        <w:spacing w:after="0" w:line="5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140" w:type="dxa"/>
            <w:vAlign w:val="bottom"/>
            <w:gridSpan w:val="3"/>
          </w:tcPr>
          <w:p>
            <w:pPr>
              <w:ind w:left="40"/>
              <w:spacing w:after="0"/>
              <w:rPr>
                <w:sz w:val="20"/>
                <w:szCs w:val="20"/>
                <w:color w:val="auto"/>
              </w:rPr>
            </w:pPr>
            <w:r>
              <w:rPr>
                <w:rFonts w:ascii="Arial" w:cs="Arial" w:eastAsia="Arial" w:hAnsi="Arial"/>
                <w:sz w:val="16"/>
                <w:szCs w:val="16"/>
                <w:b w:val="1"/>
                <w:bCs w:val="1"/>
                <w:color w:val="auto"/>
                <w:w w:val="92"/>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b w:val="1"/>
                <w:bCs w:val="1"/>
                <w:color w:val="auto"/>
                <w:w w:val="79"/>
              </w:rPr>
              <w:t>to</w:t>
            </w:r>
          </w:p>
        </w:tc>
        <w:tc>
          <w:tcPr>
            <w:tcW w:w="800" w:type="dxa"/>
            <w:vAlign w:val="bottom"/>
            <w:tcBorders>
              <w:bottom w:val="single" w:sz="8" w:color="auto"/>
            </w:tcBorders>
            <w:gridSpan w:val="2"/>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60" w:type="dxa"/>
            <w:vAlign w:val="bottom"/>
            <w:gridSpan w:val="8"/>
          </w:tcPr>
          <w:p>
            <w:pPr>
              <w:jc w:val="center"/>
              <w:ind w:right="500"/>
              <w:spacing w:after="0"/>
              <w:rPr>
                <w:sz w:val="20"/>
                <w:szCs w:val="20"/>
                <w:color w:val="auto"/>
              </w:rPr>
            </w:pPr>
            <w:r>
              <w:rPr>
                <w:rFonts w:ascii="Arial" w:cs="Arial" w:eastAsia="Arial" w:hAnsi="Arial"/>
                <w:sz w:val="16"/>
                <w:szCs w:val="16"/>
                <w:b w:val="1"/>
                <w:bCs w:val="1"/>
                <w:color w:val="auto"/>
                <w:w w:val="91"/>
              </w:rPr>
              <w:t>Commission File Number: 001-35667</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3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2"/>
        </w:trPr>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8"/>
          </w:tcPr>
          <w:p>
            <w:pPr>
              <w:jc w:val="center"/>
              <w:ind w:right="500"/>
              <w:spacing w:after="0"/>
              <w:rPr>
                <w:sz w:val="20"/>
                <w:szCs w:val="20"/>
                <w:color w:val="auto"/>
              </w:rPr>
            </w:pPr>
            <w:r>
              <w:rPr>
                <w:rFonts w:ascii="Arial" w:cs="Arial" w:eastAsia="Arial" w:hAnsi="Arial"/>
                <w:sz w:val="36"/>
                <w:szCs w:val="36"/>
                <w:b w:val="1"/>
                <w:bCs w:val="1"/>
                <w:color w:val="auto"/>
              </w:rPr>
              <w:t>AMBARELLA,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40" w:type="dxa"/>
            <w:vAlign w:val="bottom"/>
            <w:vMerge w:val="restart"/>
          </w:tcPr>
          <w:p>
            <w:pPr>
              <w:jc w:val="center"/>
              <w:ind w:left="1924"/>
              <w:spacing w:after="0"/>
              <w:rPr>
                <w:sz w:val="20"/>
                <w:szCs w:val="20"/>
                <w:color w:val="auto"/>
              </w:rPr>
            </w:pPr>
            <w:r>
              <w:rPr>
                <w:rFonts w:ascii="Arial" w:cs="Arial" w:eastAsia="Arial" w:hAnsi="Arial"/>
                <w:sz w:val="16"/>
                <w:szCs w:val="16"/>
                <w:b w:val="1"/>
                <w:bCs w:val="1"/>
                <w:color w:val="auto"/>
                <w:w w:val="91"/>
              </w:rPr>
              <w:t>Cayman Islands</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340" w:type="dxa"/>
            <w:vAlign w:val="bottom"/>
            <w:vMerge w:val="restart"/>
          </w:tcPr>
          <w:p>
            <w:pPr>
              <w:jc w:val="right"/>
              <w:ind w:right="2286"/>
              <w:spacing w:after="0"/>
              <w:rPr>
                <w:sz w:val="20"/>
                <w:szCs w:val="20"/>
                <w:color w:val="auto"/>
              </w:rPr>
            </w:pPr>
            <w:r>
              <w:rPr>
                <w:rFonts w:ascii="Arial" w:cs="Arial" w:eastAsia="Arial" w:hAnsi="Arial"/>
                <w:sz w:val="16"/>
                <w:szCs w:val="16"/>
                <w:b w:val="1"/>
                <w:bCs w:val="1"/>
                <w:color w:val="auto"/>
              </w:rPr>
              <w:t>98-0459628</w:t>
            </w:r>
          </w:p>
        </w:tc>
        <w:tc>
          <w:tcPr>
            <w:tcW w:w="0" w:type="dxa"/>
            <w:vAlign w:val="bottom"/>
          </w:tcPr>
          <w:p>
            <w:pPr>
              <w:spacing w:after="0"/>
              <w:rPr>
                <w:sz w:val="1"/>
                <w:szCs w:val="1"/>
                <w:color w:val="auto"/>
              </w:rPr>
            </w:pPr>
          </w:p>
        </w:tc>
      </w:tr>
      <w:tr>
        <w:trPr>
          <w:trHeight w:val="241"/>
        </w:trPr>
        <w:tc>
          <w:tcPr>
            <w:tcW w:w="3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58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58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94"/>
              </w:rPr>
              <w:t>incorporation or organization)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28"/>
        </w:trPr>
        <w:tc>
          <w:tcPr>
            <w:tcW w:w="3640" w:type="dxa"/>
            <w:vAlign w:val="bottom"/>
          </w:tcPr>
          <w:p>
            <w:pPr>
              <w:jc w:val="center"/>
              <w:ind w:left="1944"/>
              <w:spacing w:after="0"/>
              <w:rPr>
                <w:sz w:val="20"/>
                <w:szCs w:val="20"/>
                <w:color w:val="auto"/>
              </w:rPr>
            </w:pPr>
            <w:r>
              <w:rPr>
                <w:rFonts w:ascii="Arial" w:cs="Arial" w:eastAsia="Arial" w:hAnsi="Arial"/>
                <w:sz w:val="16"/>
                <w:szCs w:val="16"/>
                <w:b w:val="1"/>
                <w:bCs w:val="1"/>
                <w:color w:val="auto"/>
                <w:w w:val="90"/>
              </w:rPr>
              <w:t>3101 Jay Street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40" w:type="dxa"/>
            <w:vAlign w:val="bottom"/>
          </w:tcPr>
          <w:p>
            <w:pPr>
              <w:jc w:val="center"/>
              <w:ind w:left="1944"/>
              <w:spacing w:after="0"/>
              <w:rPr>
                <w:sz w:val="20"/>
                <w:szCs w:val="20"/>
                <w:color w:val="auto"/>
              </w:rPr>
            </w:pPr>
            <w:r>
              <w:rPr>
                <w:rFonts w:ascii="Arial" w:cs="Arial" w:eastAsia="Arial" w:hAnsi="Arial"/>
                <w:sz w:val="16"/>
                <w:szCs w:val="16"/>
                <w:b w:val="1"/>
                <w:bCs w:val="1"/>
                <w:color w:val="auto"/>
                <w:w w:val="94"/>
              </w:rPr>
              <w:t>Santa Clara, California</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right"/>
              <w:ind w:right="2466"/>
              <w:spacing w:after="0"/>
              <w:rPr>
                <w:sz w:val="20"/>
                <w:szCs w:val="20"/>
                <w:color w:val="auto"/>
              </w:rPr>
            </w:pPr>
            <w:r>
              <w:rPr>
                <w:rFonts w:ascii="Arial" w:cs="Arial" w:eastAsia="Arial" w:hAnsi="Arial"/>
                <w:sz w:val="16"/>
                <w:szCs w:val="16"/>
                <w:b w:val="1"/>
                <w:bCs w:val="1"/>
                <w:color w:val="auto"/>
              </w:rPr>
              <w:t>95054</w:t>
            </w:r>
          </w:p>
        </w:tc>
        <w:tc>
          <w:tcPr>
            <w:tcW w:w="0" w:type="dxa"/>
            <w:vAlign w:val="bottom"/>
          </w:tcPr>
          <w:p>
            <w:pPr>
              <w:spacing w:after="0"/>
              <w:rPr>
                <w:sz w:val="1"/>
                <w:szCs w:val="1"/>
                <w:color w:val="auto"/>
              </w:rPr>
            </w:pPr>
          </w:p>
        </w:tc>
      </w:tr>
      <w:tr>
        <w:trPr>
          <w:trHeight w:val="186"/>
        </w:trPr>
        <w:tc>
          <w:tcPr>
            <w:tcW w:w="658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22"/>
        </w:trPr>
        <w:tc>
          <w:tcPr>
            <w:tcW w:w="11240" w:type="dxa"/>
            <w:vAlign w:val="bottom"/>
            <w:gridSpan w:val="11"/>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(408) 734-8888</w:t>
            </w:r>
          </w:p>
        </w:tc>
        <w:tc>
          <w:tcPr>
            <w:tcW w:w="0" w:type="dxa"/>
            <w:vAlign w:val="bottom"/>
          </w:tcPr>
          <w:p>
            <w:pPr>
              <w:spacing w:after="0"/>
              <w:rPr>
                <w:sz w:val="1"/>
                <w:szCs w:val="1"/>
                <w:color w:val="auto"/>
              </w:rPr>
            </w:pPr>
          </w:p>
        </w:tc>
      </w:tr>
      <w:tr>
        <w:trPr>
          <w:trHeight w:val="246"/>
        </w:trPr>
        <w:tc>
          <w:tcPr>
            <w:tcW w:w="36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640" w:type="dxa"/>
            <w:vAlign w:val="bottom"/>
            <w:tcBorders>
              <w:left w:val="single" w:sz="8" w:color="auto"/>
              <w:bottom w:val="single" w:sz="8" w:color="auto"/>
            </w:tcBorders>
          </w:tcPr>
          <w:p>
            <w:pPr>
              <w:jc w:val="center"/>
              <w:ind w:left="124"/>
              <w:spacing w:after="0"/>
              <w:rPr>
                <w:sz w:val="20"/>
                <w:szCs w:val="20"/>
                <w:color w:val="auto"/>
              </w:rPr>
            </w:pPr>
            <w:r>
              <w:rPr>
                <w:rFonts w:ascii="Arial" w:cs="Arial" w:eastAsia="Arial" w:hAnsi="Arial"/>
                <w:sz w:val="14"/>
                <w:szCs w:val="14"/>
                <w:color w:val="auto"/>
                <w:w w:val="92"/>
              </w:rPr>
              <w:t>Title of each class</w:t>
            </w:r>
          </w:p>
        </w:tc>
        <w:tc>
          <w:tcPr>
            <w:tcW w:w="2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left="225"/>
              <w:spacing w:after="0"/>
              <w:rPr>
                <w:sz w:val="20"/>
                <w:szCs w:val="20"/>
                <w:color w:val="auto"/>
              </w:rPr>
            </w:pPr>
            <w:r>
              <w:rPr>
                <w:rFonts w:ascii="Arial" w:cs="Arial" w:eastAsia="Arial" w:hAnsi="Arial"/>
                <w:sz w:val="14"/>
                <w:szCs w:val="14"/>
                <w:color w:val="auto"/>
                <w:w w:val="95"/>
              </w:rPr>
              <w:t>Trading Symbol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tcBorders>
          </w:tcPr>
          <w:p>
            <w:pPr>
              <w:jc w:val="center"/>
              <w:ind w:left="144"/>
              <w:spacing w:after="0"/>
              <w:rPr>
                <w:sz w:val="20"/>
                <w:szCs w:val="20"/>
                <w:color w:val="auto"/>
              </w:rPr>
            </w:pPr>
            <w:r>
              <w:rPr>
                <w:rFonts w:ascii="Arial" w:cs="Arial" w:eastAsia="Arial" w:hAnsi="Arial"/>
                <w:sz w:val="14"/>
                <w:szCs w:val="14"/>
                <w:color w:val="auto"/>
                <w:w w:val="91"/>
              </w:rPr>
              <w:t>Ordinary Shares, $0.00045 Par Value Per Share</w:t>
            </w:r>
          </w:p>
        </w:tc>
        <w:tc>
          <w:tcPr>
            <w:tcW w:w="2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left="205"/>
              <w:spacing w:after="0"/>
              <w:rPr>
                <w:sz w:val="20"/>
                <w:szCs w:val="20"/>
                <w:color w:val="auto"/>
              </w:rPr>
            </w:pPr>
            <w:r>
              <w:rPr>
                <w:rFonts w:ascii="Arial" w:cs="Arial" w:eastAsia="Arial" w:hAnsi="Arial"/>
                <w:sz w:val="14"/>
                <w:szCs w:val="14"/>
                <w:color w:val="auto"/>
              </w:rPr>
              <w:t>AMBA</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r>
        <w:trPr>
          <w:trHeight w:val="284"/>
        </w:trPr>
        <w:tc>
          <w:tcPr>
            <w:tcW w:w="3640" w:type="dxa"/>
            <w:vAlign w:val="bottom"/>
          </w:tcPr>
          <w:p>
            <w:pPr>
              <w:spacing w:after="0"/>
              <w:rPr>
                <w:sz w:val="24"/>
                <w:szCs w:val="24"/>
                <w:color w:val="auto"/>
              </w:rPr>
            </w:pPr>
          </w:p>
        </w:tc>
        <w:tc>
          <w:tcPr>
            <w:tcW w:w="4260" w:type="dxa"/>
            <w:vAlign w:val="bottom"/>
            <w:gridSpan w:val="9"/>
          </w:tcPr>
          <w:p>
            <w:pPr>
              <w:jc w:val="center"/>
              <w:ind w:right="300"/>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80" w:type="dxa"/>
            <w:vAlign w:val="bottom"/>
            <w:gridSpan w:val="2"/>
          </w:tcPr>
          <w:p>
            <w:pPr>
              <w:jc w:val="center"/>
              <w:ind w:left="85"/>
              <w:spacing w:after="0"/>
              <w:rPr>
                <w:sz w:val="20"/>
                <w:szCs w:val="20"/>
                <w:color w:val="auto"/>
              </w:rPr>
            </w:pPr>
            <w:r>
              <w:rPr>
                <w:rFonts w:ascii="Arial" w:cs="Arial" w:eastAsia="Arial" w:hAnsi="Arial"/>
                <w:sz w:val="16"/>
                <w:szCs w:val="16"/>
                <w:b w:val="1"/>
                <w:bCs w:val="1"/>
                <w:color w:val="auto"/>
                <w:w w:val="89"/>
              </w:rPr>
              <w:t>None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4500" w:type="dxa"/>
            <w:vAlign w:val="bottom"/>
            <w:gridSpan w:val="3"/>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3340" w:type="dxa"/>
            <w:vAlign w:val="bottom"/>
            <w:vMerge w:val="restart"/>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9"/>
        </w:trPr>
        <w:tc>
          <w:tcPr>
            <w:tcW w:w="7900" w:type="dxa"/>
            <w:vAlign w:val="bottom"/>
            <w:gridSpan w:val="10"/>
          </w:tcPr>
          <w:p>
            <w:pPr>
              <w:ind w:left="5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520"/>
        <w:spacing w:after="0" w:line="161" w:lineRule="exact"/>
        <w:tabs>
          <w:tab w:leader="none" w:pos="808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9" w:lineRule="exact"/>
        <w:rPr>
          <w:sz w:val="24"/>
          <w:szCs w:val="24"/>
          <w:color w:val="auto"/>
        </w:rPr>
      </w:pPr>
    </w:p>
    <w:p>
      <w:pPr>
        <w:ind w:right="120" w:firstLine="51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14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2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20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ind w:right="60" w:firstLine="51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20" w:firstLine="510"/>
        <w:spacing w:after="0" w:line="250" w:lineRule="auto"/>
        <w:rPr>
          <w:sz w:val="20"/>
          <w:szCs w:val="20"/>
          <w:color w:val="auto"/>
        </w:rPr>
      </w:pPr>
      <w:r>
        <w:rPr>
          <w:rFonts w:ascii="Arial" w:cs="Arial" w:eastAsia="Arial" w:hAnsi="Arial"/>
          <w:sz w:val="13"/>
          <w:szCs w:val="13"/>
          <w:color w:val="auto"/>
        </w:rPr>
        <w:t>The aggregate market value of the voting and non-voting ordinary shares held by non-affiliates of the Registrant as of July 31, 2020, was approximately $1.6 billion based upon the closing price reported for such date on the NASDAQ Global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p>
    <w:p>
      <w:pPr>
        <w:spacing w:after="0" w:line="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Number of ordinary shares, $0.00045 par value, outstanding as of March 22, 2021: 36,248,731 shares.</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180" w:firstLine="510"/>
        <w:spacing w:after="0" w:line="290" w:lineRule="auto"/>
        <w:rPr>
          <w:sz w:val="20"/>
          <w:szCs w:val="20"/>
          <w:color w:val="auto"/>
        </w:rPr>
      </w:pPr>
      <w:r>
        <w:rPr>
          <w:rFonts w:ascii="Arial" w:cs="Arial" w:eastAsia="Arial" w:hAnsi="Arial"/>
          <w:sz w:val="13"/>
          <w:szCs w:val="13"/>
          <w:color w:val="auto"/>
        </w:rPr>
        <w:t>Certain information is incorporated into Part III of this report by reference to the Proxy Statement for the Registrant’s annual meeting of shareholders to be held on or about June 17, 2021 to be filed with the Securities and Exchange Commission pursuant to Regulation 14A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421005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20" w:type="dxa"/>
            <w:vAlign w:val="bottom"/>
            <w:gridSpan w:val="16"/>
          </w:tcPr>
          <w:p>
            <w:pPr>
              <w:ind w:left="4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620" w:type="dxa"/>
            <w:vAlign w:val="bottom"/>
            <w:gridSpan w:val="9"/>
            <w:vMerge w:val="restart"/>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vMerge w:val="continue"/>
          </w:tcPr>
          <w:p>
            <w:pPr>
              <w:spacing w:after="0"/>
              <w:rPr>
                <w:sz w:val="13"/>
                <w:szCs w:val="13"/>
                <w:color w:val="auto"/>
              </w:rPr>
            </w:pPr>
          </w:p>
        </w:tc>
        <w:tc>
          <w:tcPr>
            <w:tcW w:w="462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00" w:type="dxa"/>
            <w:vAlign w:val="bottom"/>
            <w:gridSpan w:val="2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74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974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770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8400" w:type="dxa"/>
            <w:vAlign w:val="bottom"/>
            <w:gridSpan w:val="2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74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1"/>
          </w:tcPr>
          <w:p>
            <w:pPr>
              <w:jc w:val="center"/>
              <w:ind w:right="4600"/>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PART 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Registrant’s Common Equity, Related Stockholder Matters and Issuer Purchases of Equity Securities</w:t>
              </w:r>
            </w:hyperlink>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740" w:type="dxa"/>
            <w:vAlign w:val="bottom"/>
            <w:gridSpan w:val="2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Quantitative and Qualitative Disclosures About Market Risk</w:t>
              </w:r>
            </w:hyperlink>
          </w:p>
        </w:tc>
        <w:tc>
          <w:tcPr>
            <w:tcW w:w="538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9740" w:type="dxa"/>
            <w:vAlign w:val="bottom"/>
            <w:gridSpan w:val="2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9740" w:type="dxa"/>
            <w:vAlign w:val="bottom"/>
            <w:gridSpan w:val="2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32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798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14"/>
          </w:tcPr>
          <w:p>
            <w:pPr>
              <w:jc w:val="center"/>
              <w:ind w:right="4460"/>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Directors, Executive Officers and Corporate Governance</w:t>
              </w:r>
            </w:hyperlink>
          </w:p>
        </w:tc>
        <w:tc>
          <w:tcPr>
            <w:tcW w:w="360" w:type="dxa"/>
            <w:vAlign w:val="bottom"/>
            <w:gridSpan w:val="2"/>
          </w:tcPr>
          <w:p>
            <w:pPr>
              <w:spacing w:after="0"/>
              <w:rPr>
                <w:sz w:val="17"/>
                <w:szCs w:val="17"/>
                <w:color w:val="auto"/>
              </w:rPr>
            </w:pPr>
          </w:p>
        </w:tc>
        <w:tc>
          <w:tcPr>
            <w:tcW w:w="740" w:type="dxa"/>
            <w:vAlign w:val="bottom"/>
            <w:tcBorders>
              <w:top w:val="single" w:sz="8" w:color="0000EE"/>
            </w:tcBorders>
            <w:gridSpan w:val="7"/>
          </w:tcPr>
          <w:p>
            <w:pPr>
              <w:spacing w:after="0"/>
              <w:rPr>
                <w:sz w:val="17"/>
                <w:szCs w:val="17"/>
                <w:color w:val="auto"/>
              </w:rPr>
            </w:pPr>
          </w:p>
        </w:tc>
        <w:tc>
          <w:tcPr>
            <w:tcW w:w="45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9740" w:type="dxa"/>
            <w:vAlign w:val="bottom"/>
            <w:gridSpan w:val="2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9740" w:type="dxa"/>
            <w:vAlign w:val="bottom"/>
            <w:gridSpan w:val="2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2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43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66">
              <w:r>
                <w:rPr>
                  <w:rFonts w:ascii="Arial" w:cs="Arial" w:eastAsia="Arial" w:hAnsi="Arial"/>
                  <w:sz w:val="18"/>
                  <w:szCs w:val="18"/>
                  <w:b w:val="1"/>
                  <w:bCs w:val="1"/>
                  <w:color w:val="0000EE"/>
                  <w:w w:val="98"/>
                </w:rPr>
                <w:t>PART IV</w:t>
              </w:r>
            </w:hyperlink>
          </w:p>
        </w:tc>
        <w:tc>
          <w:tcPr>
            <w:tcW w:w="45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Exhibits and Financial Statement Schedules</w:t>
              </w:r>
            </w:hyperlink>
          </w:p>
        </w:tc>
        <w:tc>
          <w:tcPr>
            <w:tcW w:w="65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9740" w:type="dxa"/>
            <w:vAlign w:val="bottom"/>
            <w:gridSpan w:val="2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Summary</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Exhibits</w:t>
              </w:r>
            </w:hyperlink>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Signatures</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340" w:type="dxa"/>
            <w:vAlign w:val="bottom"/>
            <w:gridSpan w:val="2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3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Power of Attorney</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17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the potential impact of the COVID-19 pandemic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our expectations regarding the adoption of computer vision technology; economic and geopolitical factors beyond our control; our ability to effectively generate and manage growth; our ability to retain key employees; the potential for intellectual property disputes or other litigation; the risks described under Item 1A of Part I—“Risk Factors,” Item 7 of Part II—“Management’s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17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i w:val="1"/>
          <w:iCs w:val="1"/>
          <w:color w:val="auto"/>
        </w:rPr>
        <w:t>For purposes of this Annual Report, the terms “Ambarella”, “the Company”, “we”, “us” and “our” refer to Ambarella,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Ambarella is a leading developer of low-power system-on-a-chip, or SoC, semiconductors providing powerful artificial intelligence, or AI, processing, advanced image signal processing and high-resolution video compression. Since inception, we have primarily served human-viewing applications with video and image processors for enterprise, public infrastructure and home applications, such as internet protocol, or IP, security cameras, sports cameras, wearables, aerial drones, and aftermarket automotive video recorders. In the last several years, our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recently developed deep learning neural network processing technology, which we refer to as CVflow™. The CVflow-architecture supports a variety of computer vision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computer vision algorithms to our CVflow-based SoCs. Our CV technology is creating opportunities for us to address a broader range of markets and applications while also allowing us to capture more content per electronic system.</w:t>
      </w:r>
    </w:p>
    <w:p>
      <w:pPr>
        <w:spacing w:after="0" w:line="17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As described below, Ambarella’s products are now used in a wide variety of human viewing and computer vision applications, including video security cameras, a variety of automotive camera systems, mobile and fixed robots and industrial applications, and consumer devices, such as action, drone and 360° cameras. For our fiscal years ended January 31, 2021, 2020 and 2019, we recorded revenue of $223.0 million, $228.7 million and $227.8 million, respectively. For the fiscal years ended January 31, 2021, 2020 and 2019, we incurred net losses of $59.8 million, $44.8 million and $30.4 million, respectively. We have generated cash from operations in each fiscal year starting from 2009.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Target Markets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Computer vision functionality has historically been executed with graphics processing units (GPU), field programmable gate-arrays (FPGA) or general purpose microprocessors (CPU) in servers or datacenters. This approach requires large amounts of data to be transported from an end-point electronic system or device into the network infrastructure, where the data may be stored, processed, and then sent back to the end point, creating added delay, power consumption and incremental expense from data communications, server processing and storage. In some applications, unacceptable levels of latency are introduced by the transportation of this data, minimizing or, in some cases, eliminating the utility of the product. In addition, this approach often requires personal information to be transmitted from the end-point device to the network infrastructure, potentially raising privacy and security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113665</wp:posOffset>
            </wp:positionV>
            <wp:extent cx="5701030" cy="2511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103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 w:name="page5"/>
    <w:bookmarkEnd w:id="4"/>
    <w:p>
      <w:pPr>
        <w:ind w:right="20" w:firstLine="510"/>
        <w:spacing w:after="0" w:line="255" w:lineRule="auto"/>
        <w:rPr>
          <w:sz w:val="20"/>
          <w:szCs w:val="20"/>
          <w:color w:val="auto"/>
        </w:rPr>
      </w:pPr>
      <w:r>
        <w:rPr>
          <w:rFonts w:ascii="Arial" w:cs="Arial" w:eastAsia="Arial" w:hAnsi="Arial"/>
          <w:sz w:val="18"/>
          <w:szCs w:val="18"/>
          <w:color w:val="auto"/>
        </w:rPr>
        <w:t>Ambarella believes the CV end-point market, sometimes referred to as the system’s edge, requires a fundamentally different SoC architecture versus the GPU, FPGA and CPU approach commonly utilized in the datacenter. Our CV SoCs are optimized for the requirements of the end-point market to provide highly accurate results, significant processing power, small form factor and minimal latency while consuming very low amounts of power and simultaneously delivering both human viewing and computer vision functionality, often while supporting multiple cameras and multiple AI applications with a single SoC incorporated in an end-point device. In addition, privacy and security can be enhanced, as critical personal information may not need to enter the network infrastructure.</w:t>
      </w:r>
    </w:p>
    <w:p>
      <w:pPr>
        <w:spacing w:after="0" w:line="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first CV SoC was introduced in 2018. Our development efforts are now focused on SoCs that provide both human viewing and computer vision functionality.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focusing on the following end markets:</w:t>
      </w:r>
    </w:p>
    <w:p>
      <w:pPr>
        <w:spacing w:after="0" w:line="117" w:lineRule="exact"/>
        <w:rPr>
          <w:sz w:val="20"/>
          <w:szCs w:val="20"/>
          <w:color w:val="auto"/>
        </w:rPr>
      </w:pPr>
    </w:p>
    <w:p>
      <w:pPr>
        <w:ind w:left="1000" w:right="60" w:hanging="493"/>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Security Cameras</w:t>
      </w:r>
      <w:r>
        <w:rPr>
          <w:rFonts w:ascii="Arial" w:cs="Arial" w:eastAsia="Arial" w:hAnsi="Arial"/>
          <w:sz w:val="18"/>
          <w:szCs w:val="18"/>
          <w:color w:val="2D373B"/>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leader in professional and home IP security camera markets, with solutions that deliver exceptional computer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vision performance, industry-leading compression efficiency, low power consumption, and outstanding image quality, including high dynamic range (HDR), low-light processing and fisheye lens dewarping. Our CV products enable higher levels of automation than our vision processors through advanced algorithms, such as object detection, classification and tracking, license plate recognition and facial recognition. We address the following security camera applications:</w:t>
      </w:r>
    </w:p>
    <w:p>
      <w:pPr>
        <w:spacing w:after="0" w:line="79" w:lineRule="exact"/>
        <w:rPr>
          <w:rFonts w:ascii="Arial" w:cs="Arial" w:eastAsia="Arial" w:hAnsi="Arial"/>
          <w:sz w:val="18"/>
          <w:szCs w:val="18"/>
          <w:color w:val="auto"/>
        </w:rPr>
      </w:pPr>
    </w:p>
    <w:p>
      <w:pPr>
        <w:ind w:left="1860" w:right="260" w:hanging="367"/>
        <w:spacing w:after="0" w:line="279" w:lineRule="auto"/>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Professional IP Security Cameras</w:t>
      </w:r>
      <w:r>
        <w:rPr>
          <w:rFonts w:ascii="Arial" w:cs="Arial" w:eastAsia="Arial" w:hAnsi="Arial"/>
          <w:sz w:val="17"/>
          <w:szCs w:val="17"/>
          <w:color w:val="auto"/>
        </w:rPr>
        <w:t>. These cameras are used for video monitoring and security surveillance in enterprise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infrastructure applications. Our solutions enable the streaming of multiple video streams to enable remote monitoring at multiple locations. Embedded computer vision technology supports advanced analytics at the system’s edge, including people counting and tracking, facial recognition and retail behavior analysis.</w:t>
      </w:r>
    </w:p>
    <w:p>
      <w:pPr>
        <w:spacing w:after="0" w:line="63" w:lineRule="exact"/>
        <w:rPr>
          <w:rFonts w:ascii="Arial" w:cs="Arial" w:eastAsia="Arial" w:hAnsi="Arial"/>
          <w:sz w:val="17"/>
          <w:szCs w:val="17"/>
          <w:color w:val="auto"/>
        </w:rPr>
      </w:pPr>
    </w:p>
    <w:p>
      <w:pPr>
        <w:ind w:left="1860" w:right="80" w:hanging="367"/>
        <w:spacing w:after="0" w:line="296" w:lineRule="auto"/>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Home IP Security Cameras</w:t>
      </w:r>
      <w:r>
        <w:rPr>
          <w:rFonts w:ascii="Arial" w:cs="Arial" w:eastAsia="Arial" w:hAnsi="Arial"/>
          <w:sz w:val="16"/>
          <w:szCs w:val="16"/>
          <w:color w:val="auto"/>
        </w:rPr>
        <w:t>. Home security cameras are designed for home or small business use and may be connected to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and applications via home networks using WiFi. These cameras may require very low bitrate operation to support high-definition (HD) resolution over limited bandwidth connections, while their small form factors or battery powered design may require very low power operation. Form factors include smart video door bells and video-enabled lights. Embedded computer vision technology supports advanced functions, including intruder and pet detection, face recognition and package monitoring.</w:t>
      </w:r>
    </w:p>
    <w:p>
      <w:pPr>
        <w:spacing w:after="0" w:line="53" w:lineRule="exact"/>
        <w:rPr>
          <w:rFonts w:ascii="Arial" w:cs="Arial" w:eastAsia="Arial" w:hAnsi="Arial"/>
          <w:sz w:val="16"/>
          <w:szCs w:val="16"/>
          <w:color w:val="auto"/>
        </w:rPr>
      </w:pPr>
    </w:p>
    <w:p>
      <w:pPr>
        <w:ind w:left="1000" w:right="340" w:hanging="493"/>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Automotive Cameras</w:t>
      </w:r>
      <w:r>
        <w:rPr>
          <w:rFonts w:ascii="Arial" w:cs="Arial" w:eastAsia="Arial" w:hAnsi="Arial"/>
          <w:sz w:val="16"/>
          <w:szCs w:val="16"/>
          <w:color w:val="auto"/>
        </w:rPr>
        <w:t>. Cameras are utilized for a variety of applications in the automotive market and our products are designed into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original equipment manufacturer, or OEM, and aftermarket applications. We address the following automotive market applications:</w:t>
      </w:r>
    </w:p>
    <w:p>
      <w:pPr>
        <w:spacing w:after="0" w:line="15" w:lineRule="exact"/>
        <w:rPr>
          <w:rFonts w:ascii="Arial" w:cs="Arial" w:eastAsia="Arial" w:hAnsi="Arial"/>
          <w:sz w:val="16"/>
          <w:szCs w:val="16"/>
          <w:color w:val="auto"/>
        </w:rPr>
      </w:pPr>
    </w:p>
    <w:p>
      <w:pPr>
        <w:ind w:left="1860" w:hanging="367"/>
        <w:spacing w:after="0" w:line="259" w:lineRule="auto"/>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Automotive Video Recorders (also known as data loggers). </w:t>
      </w:r>
      <w:r>
        <w:rPr>
          <w:rFonts w:ascii="Arial" w:cs="Arial" w:eastAsia="Arial" w:hAnsi="Arial"/>
          <w:sz w:val="18"/>
          <w:szCs w:val="18"/>
          <w:color w:val="auto"/>
        </w:rPr>
        <w:t>These video cameras are installed in vehicles (pre-install) or mounted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(aftermarket) to record events for reconciliation, such as for insurance and liability, driver scoring or training, and security purposes. We offer solutions for both OEM and aftermarket drive recording devices, some of which include advanced driver assistance systems (ADAS) features.</w:t>
      </w:r>
    </w:p>
    <w:p>
      <w:pPr>
        <w:spacing w:after="0" w:line="78" w:lineRule="exact"/>
        <w:rPr>
          <w:rFonts w:ascii="Arial" w:cs="Arial" w:eastAsia="Arial" w:hAnsi="Arial"/>
          <w:sz w:val="18"/>
          <w:szCs w:val="18"/>
          <w:color w:val="auto"/>
        </w:rPr>
      </w:pPr>
    </w:p>
    <w:p>
      <w:pPr>
        <w:ind w:left="1860" w:right="20" w:hanging="367"/>
        <w:spacing w:after="0" w:line="259" w:lineRule="auto"/>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 Mirrors. </w:t>
      </w:r>
      <w:r>
        <w:rPr>
          <w:rFonts w:ascii="Arial" w:cs="Arial" w:eastAsia="Arial" w:hAnsi="Arial"/>
          <w:sz w:val="18"/>
          <w:szCs w:val="18"/>
          <w:color w:val="auto"/>
        </w:rPr>
        <w:t>One or more cameras, in conjunction with an electronic display, are used to augment or, in some cases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 reflective glass rear view and/or side view mirrors to provide a wider and unobstructed field of view. Smart electronic mirrors that incorporate our CV SoCs may also help with detecting objects in blind spots, overtaking vehicles and vulnerable road users, such as pedestrians and bicycles.</w:t>
      </w:r>
    </w:p>
    <w:p>
      <w:pPr>
        <w:spacing w:after="0" w:line="78" w:lineRule="exact"/>
        <w:rPr>
          <w:rFonts w:ascii="Arial" w:cs="Arial" w:eastAsia="Arial" w:hAnsi="Arial"/>
          <w:sz w:val="18"/>
          <w:szCs w:val="18"/>
          <w:color w:val="auto"/>
        </w:rPr>
      </w:pPr>
    </w:p>
    <w:p>
      <w:pPr>
        <w:ind w:left="1860" w:right="320" w:hanging="367"/>
        <w:spacing w:after="0" w:line="273" w:lineRule="auto"/>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Front Advanced Driver Assistance System (ADAS) Cameras. </w:t>
      </w:r>
      <w:r>
        <w:rPr>
          <w:rFonts w:ascii="Arial" w:cs="Arial" w:eastAsia="Arial" w:hAnsi="Arial"/>
          <w:sz w:val="17"/>
          <w:szCs w:val="17"/>
          <w:color w:val="auto"/>
        </w:rPr>
        <w:t>These front-facing cameras are often positioned behind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rearview mirror, enabling functions such as automatic emergency braking, lane departure warning, forward collision warning, intelligent headlight control, and speed assistance functions, many of which are required by an increasing number of regional New Car Assessment Programs, or NCAP. The most advanced front ADAS cameras require ultra high definition (UHD) resolution and advanced CV processing, which is critical for long-distance object detection with a wide field-of-view, and extremely low power due to their inherently small form factor.</w:t>
      </w:r>
    </w:p>
    <w:p>
      <w:pPr>
        <w:spacing w:after="0" w:line="69" w:lineRule="exact"/>
        <w:rPr>
          <w:rFonts w:ascii="Arial" w:cs="Arial" w:eastAsia="Arial" w:hAnsi="Arial"/>
          <w:sz w:val="17"/>
          <w:szCs w:val="17"/>
          <w:color w:val="auto"/>
        </w:rPr>
      </w:pPr>
    </w:p>
    <w:p>
      <w:pPr>
        <w:ind w:left="1860" w:hanging="367"/>
        <w:spacing w:after="0" w:line="272" w:lineRule="auto"/>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Cabin Monitoring System (CMS) and Driver Monitoring System (DMS) Cameras. </w:t>
      </w:r>
      <w:r>
        <w:rPr>
          <w:rFonts w:ascii="Arial" w:cs="Arial" w:eastAsia="Arial" w:hAnsi="Arial"/>
          <w:sz w:val="17"/>
          <w:szCs w:val="17"/>
          <w:color w:val="auto"/>
        </w:rPr>
        <w:t>These interior mounted cameras track drivers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passengers to help prevent accidents by alerting a drowsy or distracted driver and assist with the deployment of safety features, such as airbags. These interior cameras may also be utilized by service providers, in particular with autonomous vehicles, to create new business opportunities in which in-cabin information, collected through cameras, may be monetized. Our solutions process our customers’ interior-sensing algorithms at high speeds and with low power consumption, and are effective even at night via onboard RGB-infrared processing. Our DMS solutions can be integrated with supplementary camera applications, including electronic mirror, front ADAS, and high-resolution driver recording.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ind w:left="1860" w:right="20" w:hanging="367"/>
        <w:spacing w:after="0" w:line="289" w:lineRule="auto"/>
        <w:tabs>
          <w:tab w:leader="none" w:pos="186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Partial to Fully Autonomous Driving (e.g. L2+, L4 and L5)</w:t>
      </w:r>
      <w:r>
        <w:rPr>
          <w:rFonts w:ascii="Arial" w:cs="Arial" w:eastAsia="Arial" w:hAnsi="Arial"/>
          <w:sz w:val="16"/>
          <w:szCs w:val="16"/>
          <w:color w:val="auto"/>
        </w:rPr>
        <w:t>. Several of our CV SoCs in development will offer significantly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levels of processing performance than our current solutions, allowing us to provide the incremental processing power to execute the complex software stack required at higher levels of autonomy. These SoCs may be able to support higher resolution cameras, more cameras per SoC, and more processing per SoC. For example, we expect our future in-development SoCs to offer the processing power to receive the output of adjacent sensors in a vehicle, such as imaging radar and/or lidar, and fuse the sensor data with camera data, providing a single point of perception for the vehicle operation. We continue to advance our research in critical areas of autonomous vehicle development, such as vehicle detection, obstacle detection, pedestrian detection, lane detection, traffic sign recognition, stereovision processing, and sensor fusion and planning, enabling us to design optimal platforms for applications ranging from Level2+ autopilot to full autonomy.</w:t>
      </w:r>
    </w:p>
    <w:p>
      <w:pPr>
        <w:spacing w:after="0" w:line="58" w:lineRule="exact"/>
        <w:rPr>
          <w:rFonts w:ascii="Arial" w:cs="Arial" w:eastAsia="Arial" w:hAnsi="Arial"/>
          <w:sz w:val="16"/>
          <w:szCs w:val="16"/>
          <w:color w:val="auto"/>
        </w:rPr>
      </w:pPr>
    </w:p>
    <w:p>
      <w:pPr>
        <w:ind w:left="1860" w:hanging="367"/>
        <w:spacing w:after="0" w:line="293" w:lineRule="auto"/>
        <w:tabs>
          <w:tab w:leader="none" w:pos="186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Automotive Opportunities. </w:t>
      </w:r>
      <w:r>
        <w:rPr>
          <w:rFonts w:ascii="Arial" w:cs="Arial" w:eastAsia="Arial" w:hAnsi="Arial"/>
          <w:sz w:val="16"/>
          <w:szCs w:val="16"/>
          <w:color w:val="auto"/>
        </w:rPr>
        <w:t>Our CV SoCs may also be utilized in the cargo areas of commercial vehicles to improve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efficiency of the delivery process, used for access control in a vehicle, and a variety of other emerging CV based applications. We are working with automotive suppliers to port their own ADAS algorithms to our platform to enable differentiated products. We also continue to develop other proprietary autonomous vehicle technologies that have performed successfully in a variety of demanding scenarios, including the Defense Advanced Research Projects Agency (DARPA) Grand Challenge (2005), a trip from Italy to China in full autonomous mode (2010), and driverless navigation at highway speeds (2015).</w:t>
      </w:r>
    </w:p>
    <w:p>
      <w:pPr>
        <w:spacing w:after="0" w:line="56" w:lineRule="exact"/>
        <w:rPr>
          <w:rFonts w:ascii="Arial" w:cs="Arial" w:eastAsia="Arial" w:hAnsi="Arial"/>
          <w:sz w:val="16"/>
          <w:szCs w:val="16"/>
          <w:color w:val="auto"/>
        </w:rPr>
      </w:pPr>
    </w:p>
    <w:p>
      <w:pPr>
        <w:ind w:left="1000" w:right="180" w:hanging="493"/>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Emerging Robotic and Industrial Applications</w:t>
      </w:r>
      <w:r>
        <w:rPr>
          <w:rFonts w:ascii="Arial" w:cs="Arial" w:eastAsia="Arial" w:hAnsi="Arial"/>
          <w:sz w:val="18"/>
          <w:szCs w:val="18"/>
          <w:color w:val="auto"/>
        </w:rPr>
        <w:t>. Our solutions can add intelligence to a range of partially or fully robotic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access control, industrial/factory automation, sensing cameras, and a variety of industrial and home robotic applications. Our advanced CV SoCs handle an array of complex algorithms, from low-level perception functions and neural networks to higher-level autonomous software stacks, while our video processing pipeline enables operation in challenging lighting conditions such as high-contrast scenes and extremely low-light environments, all with low power consumption. We address the following industrial and robotic market applications:</w:t>
      </w:r>
    </w:p>
    <w:p>
      <w:pPr>
        <w:spacing w:after="0" w:line="84" w:lineRule="exact"/>
        <w:rPr>
          <w:rFonts w:ascii="Arial" w:cs="Arial" w:eastAsia="Arial" w:hAnsi="Arial"/>
          <w:sz w:val="18"/>
          <w:szCs w:val="18"/>
          <w:color w:val="auto"/>
        </w:rPr>
      </w:pPr>
    </w:p>
    <w:p>
      <w:pPr>
        <w:ind w:left="1860" w:hanging="367"/>
        <w:spacing w:after="0" w:line="257"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Identification/Authentication Cameras. </w:t>
      </w:r>
      <w:r>
        <w:rPr>
          <w:rFonts w:ascii="Arial" w:cs="Arial" w:eastAsia="Arial" w:hAnsi="Arial"/>
          <w:sz w:val="18"/>
          <w:szCs w:val="18"/>
          <w:color w:val="auto"/>
        </w:rPr>
        <w:t>Our video-based sensing solutions enable contactless access control for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public applications. Our CV SoCs are engineered to quickly extract input from the physical environment, fuse data from multiple sensors, analyze the incoming data and deliver the appropriate feedback, with low-latency and low-power responsiveness. Applications include enterprise access control panels, electronic locks and contactless mobile payment terminals.</w:t>
      </w:r>
    </w:p>
    <w:p>
      <w:pPr>
        <w:spacing w:after="0" w:line="79" w:lineRule="exact"/>
        <w:rPr>
          <w:rFonts w:ascii="Arial" w:cs="Arial" w:eastAsia="Arial" w:hAnsi="Arial"/>
          <w:sz w:val="18"/>
          <w:szCs w:val="18"/>
          <w:color w:val="auto"/>
        </w:rPr>
      </w:pPr>
    </w:p>
    <w:p>
      <w:pPr>
        <w:ind w:left="1860" w:right="240" w:hanging="367"/>
        <w:spacing w:after="0" w:line="259"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Robotic Products. </w:t>
      </w:r>
      <w:r>
        <w:rPr>
          <w:rFonts w:ascii="Arial" w:cs="Arial" w:eastAsia="Arial" w:hAnsi="Arial"/>
          <w:sz w:val="18"/>
          <w:szCs w:val="18"/>
          <w:color w:val="auto"/>
        </w:rPr>
        <w:t>Our products and technology are well suited for a variety of smart home and enterprise robotic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stereovision capabilities and convolutional neural network (CNN)-based object classification, our solutions are also suited for a variety of industrial machine vision systems, mobile robots for delivery or factory/warehouse applications, aerial drones, robotic vacuum cleaners, and other emerging robotic applications.</w:t>
      </w:r>
    </w:p>
    <w:p>
      <w:pPr>
        <w:spacing w:after="0" w:line="78" w:lineRule="exact"/>
        <w:rPr>
          <w:rFonts w:ascii="Arial" w:cs="Arial" w:eastAsia="Arial" w:hAnsi="Arial"/>
          <w:sz w:val="18"/>
          <w:szCs w:val="18"/>
          <w:color w:val="auto"/>
        </w:rPr>
      </w:pPr>
    </w:p>
    <w:p>
      <w:pPr>
        <w:ind w:left="1860" w:right="60" w:hanging="367"/>
        <w:spacing w:after="0" w:line="259"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Sensing Cameras. </w:t>
      </w:r>
      <w:r>
        <w:rPr>
          <w:rFonts w:ascii="Arial" w:cs="Arial" w:eastAsia="Arial" w:hAnsi="Arial"/>
          <w:sz w:val="18"/>
          <w:szCs w:val="18"/>
          <w:color w:val="auto"/>
        </w:rPr>
        <w:t>Our CV SoCs enable sensing cameras that analyze video using AI-based algorithms running in the camera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remote users with updates, warnings or business data based on the analysis. Since no video, audio or image data needs to leave the camera, privacy can be maintained. Applications for sensing cameras include elderly monitoring, building occupancy monitoring and retail store business analytics.</w:t>
      </w:r>
    </w:p>
    <w:p>
      <w:pPr>
        <w:spacing w:after="0" w:line="78" w:lineRule="exact"/>
        <w:rPr>
          <w:rFonts w:ascii="Arial" w:cs="Arial" w:eastAsia="Arial" w:hAnsi="Arial"/>
          <w:sz w:val="18"/>
          <w:szCs w:val="18"/>
          <w:color w:val="auto"/>
        </w:rPr>
      </w:pPr>
    </w:p>
    <w:p>
      <w:pPr>
        <w:ind w:left="1000" w:right="4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Applications. </w:t>
      </w:r>
      <w:r>
        <w:rPr>
          <w:rFonts w:ascii="Arial" w:cs="Arial" w:eastAsia="Arial" w:hAnsi="Arial"/>
          <w:sz w:val="18"/>
          <w:szCs w:val="18"/>
          <w:color w:val="auto"/>
        </w:rPr>
        <w:t>Cameras for the home, public spaces and consumer leisure applications that provide HD video quality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embedded connectivity to share and display video. Our low power, high-resolution and connected solutions can be found in a variety of cameras, including wearable body cameras, sports action cameras, social media cameras, drones for capturing aerial video or photographs, video conferencing and virtual reality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Our platform technology solutions provide performance attributes that satisfy the stringent demands of the camera market, enable integration of HD video and image capture capabilities in portable devices, and provide computer vision capabilities that address the evolving needs of the IP security, automotive, robotics, and industrial markets. We believe that our leadership is the result of our competitive strengths, including:</w:t>
      </w:r>
    </w:p>
    <w:p>
      <w:pPr>
        <w:spacing w:after="0" w:line="57" w:lineRule="exact"/>
        <w:rPr>
          <w:sz w:val="20"/>
          <w:szCs w:val="20"/>
          <w:color w:val="auto"/>
        </w:rPr>
      </w:pPr>
    </w:p>
    <w:p>
      <w:pPr>
        <w:ind w:left="1000" w:right="260" w:hanging="493"/>
        <w:spacing w:after="0" w:line="27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Computer Vision Architecture. </w:t>
      </w:r>
      <w:r>
        <w:rPr>
          <w:rFonts w:ascii="Arial" w:cs="Arial" w:eastAsia="Arial" w:hAnsi="Arial"/>
          <w:sz w:val="17"/>
          <w:szCs w:val="17"/>
          <w:color w:val="auto"/>
        </w:rPr>
        <w:t>Our proprietary AI and computer vision processing architecture, known as CVflow, uses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flexible hardware engine programmed with a high level algorithm description to achieve increased performance while minimizing die size and power consumption. The CVflow architecture specifies data flow connections between a set of optimized AI and computer vision operators, such as the convolution and matrix multiply functions that are specifically optimized for deep learning algorithms. The CVflow architecture supports a variety of AI and computer vision algorithms, including object detection, classification and tracking, semantic and instance segmentation, image processing, and stereo object detection, and allows customers to differentiate their products by porting their own algorithms and neural networks to our CVflow-based SoCs.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 w:name="page7"/>
    <w:bookmarkEnd w:id="6"/>
    <w:p>
      <w:pPr>
        <w:ind w:left="500" w:right="60" w:hanging="493"/>
        <w:spacing w:after="0" w:line="287"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High-Performance, Low Power, AI, Video and Image Algorithm Expertise</w:t>
      </w:r>
      <w:r>
        <w:rPr>
          <w:rFonts w:ascii="Arial" w:cs="Arial" w:eastAsia="Arial" w:hAnsi="Arial"/>
          <w:sz w:val="16"/>
          <w:szCs w:val="16"/>
          <w:color w:val="auto"/>
        </w:rPr>
        <w:t>. Our extensive algorithm expertise, which facilitates efficient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AI, video and image compression, enables our solutions to achieve low power consumption without compromising performance. Our solutions provide Full HD and UHD video up to 32-megapixel resolution and 60 frames per second. Our solutions achieve high storage and transmission efficiencies through innovative and complex video and image compression algorithms that significantly reduce the output bitrate. This smaller storage footprint directly benefits the performance of our solutions in several ways, including lower memory storage requirements and reduced bandwidth needs for transmission, which is more conducive to sharing content between devices. These benefits are particularly important in transcoding, the digital-to-digital conversion of one encoding format to another, and video cloud applications. Our solutions can deliver clear images in low light conditions because of our advanced noise reduction, including 3D motion compensated temporal filtering (MCTF) and multiple exposure processing. Additionally, our HDR processing capabilities handle scenes with large dynamic range between the lightest and darkest areas to reveal details that would otherwise be lost in shadow or highlight areas. Our advanced de-warping capability enables cameras to use wide angle lenses to capture images from a wide area, making it ideal for a variety of IP security camera applications, as well as 3D electronic image stabilization and surround view for automotive applications.</w:t>
      </w:r>
    </w:p>
    <w:p>
      <w:pPr>
        <w:spacing w:after="0" w:line="59" w:lineRule="exact"/>
        <w:rPr>
          <w:rFonts w:ascii="Arial" w:cs="Arial" w:eastAsia="Arial" w:hAnsi="Arial"/>
          <w:sz w:val="16"/>
          <w:szCs w:val="16"/>
          <w:color w:val="auto"/>
        </w:rPr>
      </w:pPr>
    </w:p>
    <w:p>
      <w:pPr>
        <w:ind w:left="500" w:right="100" w:hanging="493"/>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Video Processing Architecture</w:t>
      </w:r>
      <w:r>
        <w:rPr>
          <w:rFonts w:ascii="Arial" w:cs="Arial" w:eastAsia="Arial" w:hAnsi="Arial"/>
          <w:sz w:val="18"/>
          <w:szCs w:val="18"/>
          <w:color w:val="auto"/>
        </w:rPr>
        <w:t>. Our proprietary video processing architecture is designed to efficiently integrate our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compression algorithms into our SoCs to offer exceptional storage and transmission efficiencies at lower power across multiple products and end markets. Due to our historical focus on video processing compression, we believe that our solutions offer exceptional video processing performance metrics with lower power requirements and reduced die sizes. Our integrated algorithms and architecture also enable simultaneous processing of multiple video and image streams.</w:t>
      </w:r>
    </w:p>
    <w:p>
      <w:pPr>
        <w:spacing w:after="0" w:line="79" w:lineRule="exact"/>
        <w:rPr>
          <w:rFonts w:ascii="Arial" w:cs="Arial" w:eastAsia="Arial" w:hAnsi="Arial"/>
          <w:sz w:val="18"/>
          <w:szCs w:val="18"/>
          <w:color w:val="auto"/>
        </w:rPr>
      </w:pPr>
    </w:p>
    <w:p>
      <w:pPr>
        <w:ind w:left="500" w:right="60" w:hanging="493"/>
        <w:spacing w:after="0" w:line="269"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Highly Integrated SoC Solutions Based on a Scalable Platform</w:t>
      </w:r>
      <w:r>
        <w:rPr>
          <w:rFonts w:ascii="Arial" w:cs="Arial" w:eastAsia="Arial" w:hAnsi="Arial"/>
          <w:sz w:val="17"/>
          <w:szCs w:val="17"/>
          <w:color w:val="auto"/>
        </w:rPr>
        <w:t>. Our product families leverage our core high-performance AI and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processing architecture combined with an extensive set of integrated peripherals, which enables our platform to address the requirements of a variety of applications and end markets. Our flexible and highly-scalable platform enables us to address multiple markets with reduced design cycles and costs. Our software compatible portfolio of products with a broad range of performance and price points allows our customers to develop a range of end products from a common software base. Our platform also enables us to develop fully integrated SoC solutions that provide the system functionalities required by our customers on a single chip. Our extensive system integration expertise enables us to integrate core video processing functionality with many peripheral functions such as multiple sensor inputs and video outputs, flash memory controllers, and serial, Ethernet and PCI-E interfaces to reduce system complexity and interoperability issues. Furthermore, we have successfully migrated our process nodes from 130nm to 5nm since our founding and have a proven track record of developing and delivering multiple solutions with first-pass silicon success.</w:t>
      </w:r>
    </w:p>
    <w:p>
      <w:pPr>
        <w:spacing w:after="0" w:line="77" w:lineRule="exact"/>
        <w:rPr>
          <w:rFonts w:ascii="Arial" w:cs="Arial" w:eastAsia="Arial" w:hAnsi="Arial"/>
          <w:sz w:val="17"/>
          <w:szCs w:val="17"/>
          <w:color w:val="auto"/>
        </w:rPr>
      </w:pPr>
    </w:p>
    <w:p>
      <w:pPr>
        <w:ind w:left="500" w:hanging="493"/>
        <w:spacing w:after="0" w:line="25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and Flexible Software</w:t>
      </w:r>
      <w:r>
        <w:rPr>
          <w:rFonts w:ascii="Arial" w:cs="Arial" w:eastAsia="Arial" w:hAnsi="Arial"/>
          <w:sz w:val="18"/>
          <w:szCs w:val="18"/>
          <w:color w:val="auto"/>
        </w:rPr>
        <w:t>. Our years of investment in developing and optimizing our comprehensive and flexible software serve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foundation of our high-performance video application solutions. Key components of our software include highly customized middleware that integrates many unique features for efficient scheduling and other system-level functions, and firmware that is optimized to reduce power requirements and improve performance. In addition, we provide to our customers full-function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also provide extensive software tools to map algorithms from commonly-used AI frameworks such as Pytorch or Tensorflow into our proprietary CVflow architecture.</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7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computer vision functionality, simultaneous video and image capture, multiple-stream video capture, image stabilization and wireless connectivity.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AI video and image processing SoCs, based on our proprietary architecture, are highly configurable and enable our customers to deliver exceptional AI and video capabilities, easy-to-use devices with low power requirements. Our AI architecture, incorporated into our CV family of SoCs, extract and process data from video streams, enabling our customers to develop intelligent camera systems. Our customized software solutions include firmware, middleware and software development kits to optimize system-level functions and allow rapid integration of our solution into customer products and tailor specifications to customer requirements.</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B6 and B8 SerDes (Serializer/Deserializer) products are mixed-signal (analog and digital) semiconductors used to transport data short distances (up to 10 meters) from a CMOS image sensor, often in a remote camera location, to our video and CV SoCs. The SerDes chips are used to add additional camera(s) to an automotive application, as well as used as a bridge chip for other automotive applications, such as MIPI combiner, splitter and display drivers. Our SerDes chips are also used in security applications, for example, ATMs may use a single B6 chip for connecting multiple remote cameras to a single video processor SoC.</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families that have been introduced in the last two fiscal years include:</w:t>
      </w:r>
    </w:p>
    <w:p>
      <w:pPr>
        <w:spacing w:after="0" w:line="117" w:lineRule="exact"/>
        <w:rPr>
          <w:sz w:val="20"/>
          <w:szCs w:val="20"/>
          <w:color w:val="auto"/>
        </w:rPr>
      </w:pPr>
    </w:p>
    <w:p>
      <w:pPr>
        <w:ind w:left="1000" w:right="120" w:hanging="493"/>
        <w:spacing w:after="0" w:line="273" w:lineRule="auto"/>
        <w:tabs>
          <w:tab w:leader="none" w:pos="1000" w:val="left"/>
        </w:tabs>
        <w:numPr>
          <w:ilvl w:val="0"/>
          <w:numId w:val="7"/>
        </w:numPr>
        <w:rPr>
          <w:rFonts w:ascii="Arial" w:cs="Arial" w:eastAsia="Arial" w:hAnsi="Arial"/>
          <w:sz w:val="17"/>
          <w:szCs w:val="17"/>
          <w:color w:val="333333"/>
        </w:rPr>
      </w:pPr>
      <w:r>
        <w:rPr>
          <w:rFonts w:ascii="Arial" w:cs="Arial" w:eastAsia="Arial" w:hAnsi="Arial"/>
          <w:sz w:val="17"/>
          <w:szCs w:val="17"/>
          <w:color w:val="auto"/>
        </w:rPr>
        <w:t>Our 10nm CV25 SoC, which we announced in January 2019, provides computer vision processing for affordable and intelligent home monitoring, professional surveillance, and aftermarket automotive solutions, including smart dash-cameras, driver monitoring systems (DMS), and electronic mirrors. The CV25 SoC enables cameras to perform advanced AI features like object detection, facial recognition in real-time on the camera rather than in the cloud. The CV25 SoC encodes AVC and HEVC video at rates of up to 4Kp30, and uses SmartAVC</w:t>
      </w:r>
      <w:r>
        <w:rPr>
          <w:rFonts w:ascii="Arial" w:cs="Arial" w:eastAsia="Arial" w:hAnsi="Arial"/>
          <w:sz w:val="14"/>
          <w:szCs w:val="14"/>
          <w:color w:val="auto"/>
        </w:rPr>
        <w:t>TM</w:t>
      </w:r>
      <w:r>
        <w:rPr>
          <w:rFonts w:ascii="Arial" w:cs="Arial" w:eastAsia="Arial" w:hAnsi="Arial"/>
          <w:sz w:val="17"/>
          <w:szCs w:val="17"/>
          <w:color w:val="auto"/>
        </w:rPr>
        <w:t xml:space="preserve"> and SmartHEVC</w:t>
      </w:r>
      <w:r>
        <w:rPr>
          <w:rFonts w:ascii="Arial" w:cs="Arial" w:eastAsia="Arial" w:hAnsi="Arial"/>
          <w:sz w:val="14"/>
          <w:szCs w:val="14"/>
          <w:color w:val="auto"/>
        </w:rPr>
        <w:t>TM</w:t>
      </w:r>
      <w:r>
        <w:rPr>
          <w:rFonts w:ascii="Arial" w:cs="Arial" w:eastAsia="Arial" w:hAnsi="Arial"/>
          <w:sz w:val="17"/>
          <w:szCs w:val="17"/>
          <w:color w:val="auto"/>
        </w:rPr>
        <w:t xml:space="preserve"> intelligent rate control to achieve low bitrates and minimize cloud storage costs. The CV25 SoC also includes a quad-core 1 GHz ARM® Cortex®-A53 CPU with NEON</w:t>
      </w:r>
      <w:r>
        <w:rPr>
          <w:rFonts w:ascii="Arial" w:cs="Arial" w:eastAsia="Arial" w:hAnsi="Arial"/>
          <w:sz w:val="14"/>
          <w:szCs w:val="14"/>
          <w:color w:val="auto"/>
        </w:rPr>
        <w:t>TM</w:t>
      </w:r>
      <w:r>
        <w:rPr>
          <w:rFonts w:ascii="Arial" w:cs="Arial" w:eastAsia="Arial" w:hAnsi="Arial"/>
          <w:sz w:val="17"/>
          <w:szCs w:val="17"/>
          <w:color w:val="auto"/>
        </w:rPr>
        <w:t xml:space="preserve"> DSP extensions and floating point unit.</w:t>
      </w:r>
    </w:p>
    <w:p>
      <w:pPr>
        <w:spacing w:after="0" w:line="69" w:lineRule="exact"/>
        <w:rPr>
          <w:rFonts w:ascii="Arial" w:cs="Arial" w:eastAsia="Arial" w:hAnsi="Arial"/>
          <w:sz w:val="17"/>
          <w:szCs w:val="17"/>
          <w:color w:val="333333"/>
        </w:rPr>
      </w:pPr>
    </w:p>
    <w:p>
      <w:pPr>
        <w:ind w:left="1000" w:right="40" w:hanging="493"/>
        <w:spacing w:after="0" w:line="275" w:lineRule="auto"/>
        <w:tabs>
          <w:tab w:leader="none" w:pos="1000" w:val="left"/>
        </w:tabs>
        <w:numPr>
          <w:ilvl w:val="0"/>
          <w:numId w:val="7"/>
        </w:numPr>
        <w:rPr>
          <w:rFonts w:ascii="Arial" w:cs="Arial" w:eastAsia="Arial" w:hAnsi="Arial"/>
          <w:sz w:val="17"/>
          <w:szCs w:val="17"/>
          <w:color w:val="333333"/>
        </w:rPr>
      </w:pPr>
      <w:r>
        <w:rPr>
          <w:rFonts w:ascii="Arial" w:cs="Arial" w:eastAsia="Arial" w:hAnsi="Arial"/>
          <w:sz w:val="17"/>
          <w:szCs w:val="17"/>
          <w:color w:val="auto"/>
        </w:rPr>
        <w:t>Our S6Lm SoC, which we announced in April 2019, is designed for a wide range of professional IP and home monitoring cameras and includes 4K HDR processing and multi-streaming. The S6Lm SoC delivers 5Mp30 + 720p30 + 5Mp1 maximum encoding performance. The S6Lm SoC features a quad-core ARM Cortex A53 CPU for advanced analytics, including object and person detection to reduce false alarms and maximize battery life in battery-powered designs. The S6Lm uses our next-generation image signal processor to deliver high-quality imaging in low-light conditions, while its HDR processing extracts high image detail in high-contrast scenes.</w:t>
      </w:r>
    </w:p>
    <w:p>
      <w:pPr>
        <w:spacing w:after="0" w:line="68" w:lineRule="exact"/>
        <w:rPr>
          <w:rFonts w:ascii="Arial" w:cs="Arial" w:eastAsia="Arial" w:hAnsi="Arial"/>
          <w:sz w:val="17"/>
          <w:szCs w:val="17"/>
          <w:color w:val="333333"/>
        </w:rPr>
      </w:pPr>
    </w:p>
    <w:p>
      <w:pPr>
        <w:ind w:left="1000" w:hanging="493"/>
        <w:spacing w:after="0" w:line="25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CV22FS and CV2FS SoCs, which we announced in January 2020, are </w:t>
      </w:r>
      <w:r>
        <w:rPr>
          <w:rFonts w:ascii="Arial" w:cs="Arial" w:eastAsia="Arial" w:hAnsi="Arial"/>
          <w:sz w:val="18"/>
          <w:szCs w:val="18"/>
          <w:color w:val="2D373B"/>
        </w:rPr>
        <w:t>ASIL-B compliant versions of our CV22 and CV2 SoCs to enable</w:t>
      </w:r>
      <w:r>
        <w:rPr>
          <w:rFonts w:ascii="Arial" w:cs="Arial" w:eastAsia="Arial" w:hAnsi="Arial"/>
          <w:sz w:val="18"/>
          <w:szCs w:val="18"/>
          <w:color w:val="auto"/>
        </w:rPr>
        <w:t xml:space="preserve"> </w:t>
      </w:r>
      <w:r>
        <w:rPr>
          <w:rFonts w:ascii="Arial" w:cs="Arial" w:eastAsia="Arial" w:hAnsi="Arial"/>
          <w:sz w:val="18"/>
          <w:szCs w:val="18"/>
          <w:color w:val="2D373B"/>
        </w:rPr>
        <w:t>safety-critical applications for the automotive market. Featuring low power consumption, the CV22FS and CV2FS SoCs are designed to enable Tier-1 suppliers and OEMs to surpass the European New Car Assessment Program (NCAP) performance requirements within the power consumption constraints of single-box, windshield-mounted forward ADAS cameras. Other potential applications for the processors include electronic mirrors with blind spot detection (BSD), interior driver and cabin monitoring cameras, and camera processing for L2+ to L4 autonomous vehicles.</w:t>
      </w:r>
    </w:p>
    <w:p>
      <w:pPr>
        <w:spacing w:after="0" w:line="84" w:lineRule="exact"/>
        <w:rPr>
          <w:rFonts w:ascii="Arial" w:cs="Arial" w:eastAsia="Arial" w:hAnsi="Arial"/>
          <w:sz w:val="18"/>
          <w:szCs w:val="18"/>
          <w:color w:val="auto"/>
        </w:rPr>
      </w:pPr>
    </w:p>
    <w:p>
      <w:pPr>
        <w:ind w:left="1000" w:right="120" w:hanging="493"/>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CV28M SoC, which we announced in November 2020, combines advanced image processing, high-resolution video encoding and CVflow AI processing in a single, low-power design to enable a new class of smart edge devices for applications including smart home security, retail monitoring, consumer robotics, and occupancy monitoring. The CV28M SoC includes our CVflow architecture with CNN/deep learning support and encodes 4K video at 30 frames per second. The CV28M SoC includes a Dual-core 1 GHz Arm® Cortex®-A53 CPU with NEON™ DSP extensions and floating point unit.</w:t>
      </w:r>
    </w:p>
    <w:p>
      <w:pPr>
        <w:spacing w:after="0" w:line="79" w:lineRule="exact"/>
        <w:rPr>
          <w:rFonts w:ascii="Arial" w:cs="Arial" w:eastAsia="Arial" w:hAnsi="Arial"/>
          <w:sz w:val="18"/>
          <w:szCs w:val="18"/>
          <w:color w:val="auto"/>
        </w:rPr>
      </w:pPr>
    </w:p>
    <w:p>
      <w:pPr>
        <w:ind w:left="1000" w:right="40" w:hanging="493"/>
        <w:spacing w:after="0" w:line="275"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CV5 SoC, our first 5 nm chip, was announced in January 2021. The CV5 SoC provides computer vision processing for intelligent multi-sensor automotive camera systems, consumer cameras, such as drone, action and 360°cameras, and robotic cameras. The CV5 SoC can simultaneously process images for both human viewing and machine processing, and consumes less than 2 watts of power while encoding full 8K video at 30 frames per second. The CV25 SoC includes dual ARM® Cortex®-A76 CPUs with NEON</w:t>
      </w:r>
      <w:r>
        <w:rPr>
          <w:rFonts w:ascii="Arial" w:cs="Arial" w:eastAsia="Arial" w:hAnsi="Arial"/>
          <w:sz w:val="14"/>
          <w:szCs w:val="14"/>
          <w:color w:val="auto"/>
        </w:rPr>
        <w:t>TM</w:t>
      </w:r>
      <w:r>
        <w:rPr>
          <w:rFonts w:ascii="Arial" w:cs="Arial" w:eastAsia="Arial" w:hAnsi="Arial"/>
          <w:sz w:val="17"/>
          <w:szCs w:val="17"/>
          <w:color w:val="auto"/>
        </w:rPr>
        <w:t xml:space="preserve"> DSP extensions and floating point unit, and high-speed SLVS-EC, MIPI-CSI (C/D PHY) interfaces capable of connecting up to 14 cameras.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The chart below describes our current product lines and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357505</wp:posOffset>
            </wp:positionV>
            <wp:extent cx="3446145" cy="5288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6145"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Our semiconductor processing solutions enable artificial intelligence and computer vision processing, HD and UHD (up to 7680 x 4320p60) video and image processing, and video compression, sharing and display while offering exceptional power, size, and performance characteristics.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differentiators of our technology include:</w:t>
      </w:r>
    </w:p>
    <w:p>
      <w:pPr>
        <w:spacing w:after="0" w:line="117"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flexible CVflow processors for deep learning and other CV algorithms with power and die size efficiency;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stereo/optical flow processing engines for robust CV processing with high performance and power efficiency;</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algorithms for high-speed image processing under challenging low light and high dynamic range conditions for robust CV and human viewing with high power efficiency;</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84" w:right="499" w:bottom="1440" w:gutter="0" w:footer="0" w:header="0"/>
        </w:sectPr>
      </w:pPr>
    </w:p>
    <w:bookmarkStart w:id="9" w:name="page10"/>
    <w:bookmarkEnd w:id="9"/>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algorithms to compress video signals with high compression and power efficiency at multiple operating points;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optimized deep learning algorithms for multi class 2D/3D object detection and segmentation, including vehicles, pedestrians, cycles, road markings, traffic signs and traffic lights;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algorithms for stereo obstacle detection to provide robust safety in the event of obstacles that are not in the training data;</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full autonomous algorithm stack for automotive applications, including fusion for multiple cameras and sensor modalities, mapping and localization algorithms and planning;</w:t>
      </w:r>
    </w:p>
    <w:p>
      <w:pPr>
        <w:spacing w:after="0" w:line="62" w:lineRule="exact"/>
        <w:rPr>
          <w:rFonts w:ascii="Arial" w:cs="Arial" w:eastAsia="Arial" w:hAnsi="Arial"/>
          <w:sz w:val="18"/>
          <w:szCs w:val="18"/>
          <w:color w:val="auto"/>
        </w:rPr>
      </w:pPr>
    </w:p>
    <w:p>
      <w:pPr>
        <w:ind w:left="1000" w:right="12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full software development kit comprised of application programming interfaces, or APIs, to facilitate integration into customers’ products; and tools for porting and optimizing customer deep neural networks, or DNNs, developed in industry standard training frameworks;</w:t>
      </w:r>
    </w:p>
    <w:p>
      <w:pPr>
        <w:spacing w:after="0" w:line="15"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scalable architecture that covers the gamut of consumer and professional video camera and encoding applications from Full HD to 8K video performance levels;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capture, process and encode multiple image sensors simultaneously to support multiple viewpoints, including surround view and virtual reality applications;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encode multiple video streams simultaneously to support simultaneous recording and video streaming or streaming to multiple devices with different resolutions;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algorithms to stabilize video from camera motion in challenging conditions, such as sports and drone cameras;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low-power architecture with minimal system memory footprint;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programmable architecture that balances flexibility, quality, power and die size with powerful CPUs and optimized hardware acceleration to support advanced processing functions.</w:t>
      </w:r>
    </w:p>
    <w:p>
      <w:pPr>
        <w:spacing w:after="0" w:line="17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Our technology platform is based on a high-performance, low-power architecture supported by a high level of system integration. The building blocks of our platform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117475</wp:posOffset>
            </wp:positionV>
            <wp:extent cx="6026150" cy="3145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2615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10" w:name="page11"/>
    <w:bookmarkEnd w:id="10"/>
    <w:p>
      <w:pPr>
        <w:ind w:right="260" w:firstLine="510"/>
        <w:spacing w:after="0" w:line="277" w:lineRule="auto"/>
        <w:rPr>
          <w:sz w:val="20"/>
          <w:szCs w:val="20"/>
          <w:color w:val="auto"/>
        </w:rPr>
      </w:pPr>
      <w:r>
        <w:rPr>
          <w:rFonts w:ascii="Arial" w:cs="Arial" w:eastAsia="Arial" w:hAnsi="Arial"/>
          <w:sz w:val="18"/>
          <w:szCs w:val="18"/>
          <w:color w:val="auto"/>
        </w:rPr>
        <w:t>Our technology platform enables the capture of high-resolution still images and UHD video while simultaneously performing CV processing and encoding for high-quality storage and lower resolution real time streaming.</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CVflow</w:t>
      </w:r>
    </w:p>
    <w:p>
      <w:pPr>
        <w:spacing w:after="0" w:line="22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Our proprietary AI computer vision processing architecture, known as CVflow™, uses a flexible hardware engine programmed with a data flow graph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AI and computer vision operators, such as the convolution and matrix multiply functions that are used for deep learning algorithms. The CVflow architecture also supports a variety of other computer vision algorithms, including stereo obstacle detection and terrain mapping technology. Our platform allows customers to differentiate their products by porting and optimizing their own algorithms and neural networks to our CVflow-based chips from industry-standard training tools and frameworks.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Computer Vision Technology</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Computer vision is a core technology that complements our proprietary image processing and video compression technology. Our current SoC solutions have up to four high performance ARM processors with NEON</w:t>
      </w:r>
      <w:r>
        <w:rPr>
          <w:rFonts w:ascii="Arial" w:cs="Arial" w:eastAsia="Arial" w:hAnsi="Arial"/>
          <w:sz w:val="14"/>
          <w:szCs w:val="14"/>
          <w:color w:val="auto"/>
        </w:rPr>
        <w:t>TM</w:t>
      </w:r>
      <w:r>
        <w:rPr>
          <w:rFonts w:ascii="Arial" w:cs="Arial" w:eastAsia="Arial" w:hAnsi="Arial"/>
          <w:sz w:val="17"/>
          <w:szCs w:val="17"/>
          <w:color w:val="auto"/>
        </w:rPr>
        <w:t xml:space="preserve"> acceleration that provide a flexible and cost-effective manner in which to run computer vision algorithms. We are focusing on developing advanced computer vision algorithms and high-performance, low-power hardware acceleration, which is critical to our security camera, automotive camera, and other markets. A significant feature of our CV SoCs is support for stereo obstacle detection, which utilizes stereo cameras to perceive depth. We believe that stereo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detect obstacles without relying on training because the depth information is used to directly construct a three-dimensional model of the camera’s surroundings, including any obstacles. Our computer stereo vision processing solutions provide the ability to detect generic objects without training, allowing more robust decisions to be made in applications such as autonomous driving.</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AmbaClear</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proprietary image signal processing architecture, known as AmbaClear, incorporates advanced algorithms to convert raw sensor data to UHD video and/or still images. Image processing algorithms include sensor, lens and color correction, HDR tone mapping, color processing and demosaicing to reconstruct a full color image from incomplete color samples and specialized color filters, noise filtering, detail enhancement and image format conversion. For example, raw sensor data can be captured at up to 32-megapixel (8K) resolution at 60 frames per second while selected frames are concurrently processed by the still image processor. This image processing reduces noise in the sensor data and improves color, contrast and sharpness resulting in improved computer vision performance, enhanced human viewing and enhanced storage and transmission efficiencies. Our WDR and HDR processing capabilities handle greater dynamic range between the lightest and darkest areas of an image, permitting video images to reveal details that would otherwise be lost against a bright background. Our advanced de-warping capability enables cameras to use wide angle lenses to capture images from a wide area, making it ideal for a variety of IP security camera and surround view applications. Our RGB- infrared fusion capability allows a single sensor to produce simultaneous RGB and infrared images for sensing and improved low light performance.</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AmbaCast</w:t>
      </w:r>
    </w:p>
    <w:p>
      <w:pPr>
        <w:spacing w:after="0" w:line="117" w:lineRule="exact"/>
        <w:rPr>
          <w:sz w:val="20"/>
          <w:szCs w:val="20"/>
          <w:color w:val="auto"/>
        </w:rPr>
      </w:pPr>
    </w:p>
    <w:p>
      <w:pPr>
        <w:ind w:right="300" w:firstLine="510"/>
        <w:spacing w:after="0" w:line="257" w:lineRule="auto"/>
        <w:rPr>
          <w:sz w:val="20"/>
          <w:szCs w:val="20"/>
          <w:color w:val="auto"/>
        </w:rPr>
      </w:pPr>
      <w:r>
        <w:rPr>
          <w:rFonts w:ascii="Arial" w:cs="Arial" w:eastAsia="Arial" w:hAnsi="Arial"/>
          <w:sz w:val="18"/>
          <w:szCs w:val="18"/>
          <w:color w:val="auto"/>
        </w:rPr>
        <w:t>Our proprietary UHD video processing architecture, known as AmbaCast, incorporates advanced algorithms for motion estimation, motion-compensated 3D temporal filtering, mode decision and AI based rate control. Successful implementation of these computationally intensive steps has helped us maximize compression efficiency. We support all three compression profiles—baseline, main, and high—as specified in the H.264 video compression standard. We also support the main profile H.265 video compression standard with up to 2x better compression efficiency compared to our H.264 video compression technology.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Design Methodology</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success of our technology platform stems from our algorithm driven design methodology. We do extensive algorithm studies in deep learning AI, image processing and compression including our internally developed and public external algorithms. We use these studies to develop high power and die area efficient processing engines compared with general purpose processors like CPUs and GPUs. We also include a high degree of programmability to provide flexibility in supporting new algorithms that we and our customers develop. We test and verify our algorithms on our proprietary architectural model prior to implementing our processor engines in hardware. Our advanced verification methodology validates our approach through simultaneous modeling of architecture, algorithms, and the hardware itself. This redundant approach enables us to identify and remediate any weaknesses early in the development cycle, providing a solid foundation on which we build our hardware implementation, and enhances our ability to achieve first-pass silicon success. We possess extensive expertise in AI deep learning, video and imaging algorithms, as well as deep sub-micron digital and mixed-signal design experience.</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Compatible Family of SoC Solutions</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Our current SoC designs integrate our fully-programmable and highly-efficient CVflow architecture, UHD image processing and video compression, applications processing and system functions onto a single chip, delivering exceptional performance, quality and power efficiency with differentiated features. Our multi-core DSP architecture is highly scalable and balances software programmability with hardware-accelerated performance to achieve extremely low power consumption and maximized camera battery life. We have used this scalability to develop an extensive family of software compatible SoCs with a wide range of performance and price points (CV28, CV25, CV22, CV2, CV2FS, and CV5). This scalable, programmable architecture provides our customers with the flexibility they need to quickly develop a wide range of differentiated products. Additionally, our SoCs integrate mixed signal (analog/digital) functionality and high speed interfaces required for interfacing to advanced high-speed CMOS sensors and industry standard interfaces such as PCI-E, USB 3.2 and HDMI 2.0.</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 Kits</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We provide to our customers fully-functional software development kits with a suite of APIs which allow customers to rapidly integrate our solution, adjust product specifications and provide additional functionality to their systems, thereby enabling them to differentiate their product offerings and reduce time to market. We have software development kits for all of our core markets.</w:t>
      </w:r>
    </w:p>
    <w:p>
      <w:pPr>
        <w:spacing w:after="0" w:line="7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also provide a toolkit to accelerate the development of computer vision algorithms onto our hardware. We provide tools to map and optimize algorithms developed in commonly used computer vision frameworks such as Caffe or Tensorflow into our proprietary CVflow architecture. We also provide a framework for development of higher-level computer vision tasks. This enables our customers to write complex computer vision algorithms with multiple tasks running in parallel on multiple processing engines, as would be required in applications such as autonomous driving.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sell our solutions to leading original design manufacturers, or ODMs, and original equipment manufacturers, or OEMs, globally. In the automotive OEM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 In our other markets, our solutions are designed into products from leading OEMs including Axis Communications AB (a subsidiary of Canon Inc.), or Axis, Avigilon Corporation, a subsidiary of Motorola Solutions, Inc., Dahua Technology Co., Ltd., Shenzhen Dajiang Baiwang Technology Co., Ltd., or Dajiang Baiwang, Hanwha Techwin Co., Ltd., or Hanwha Techwin, Hikvision Digital Technology Co., JVC Kenwood Corporation and affiliated entities, Shenzhen Longhorn Automobile Electronic Equipment Co. Ltd., Panasonic i-PRO Sensing Solutions Co., Ltd., Ring, Inc. (owned by Amazon, Inc.), Robert Bosch GmbH and affiliated entities, Thinkware Corporation, and Vivotek Inc., who source our solutions from ODMs including Chicony Electronics Co., Ltd., Goertek Inc., affiliated entities of Hon Hai Precision Industry Co., Ltd., Jabil Circuit, Inc., and Sercomm Corporation.</w:t>
      </w:r>
    </w:p>
    <w:p>
      <w:pPr>
        <w:spacing w:after="0" w:line="16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Sales to customers in Asia accounted for approximately 88%, 90%, and 87% of our total revenue in the fiscal years ended January 31, 2021, 2020, and 2019, respectively.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all of our sales have been denominated in U.S. dollars.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 w:name="page13"/>
    <w:bookmarkEnd w:id="12"/>
    <w:p>
      <w:pPr>
        <w:ind w:firstLine="510"/>
        <w:spacing w:after="0" w:line="255" w:lineRule="auto"/>
        <w:rPr>
          <w:sz w:val="20"/>
          <w:szCs w:val="20"/>
          <w:color w:val="auto"/>
        </w:rPr>
      </w:pPr>
      <w:r>
        <w:rPr>
          <w:rFonts w:ascii="Arial" w:cs="Arial" w:eastAsia="Arial" w:hAnsi="Arial"/>
          <w:sz w:val="18"/>
          <w:szCs w:val="18"/>
          <w:color w:val="auto"/>
        </w:rPr>
        <w:t>We work closely with our end customer OEMs and ODMs throughout their product design cycles that often last nine to eighteen months for many of our target markets, although new products may have longer design cycles, particularly those implementing advanced AI features. Product design cycles for certain portions of the automotive market generally last longer than eighteen months, particularly for products containing user safety features. As a result, we are able to develop long-term relationships with our customers as our technology becomes embedded in their products. Consequently, we believe we are well positioned to not only be designed into our customers’ current products, but also to continually develop next-generation HD video and image processing solutions for their future products.</w:t>
      </w:r>
    </w:p>
    <w:p>
      <w:pPr>
        <w:spacing w:after="0" w:line="19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product life cycles in many of our target markets typically range from twelve to 24 months. We expect that product lifecycles in the automotive OEM and the industrial and robotics markets will typically be longer than 24 months, as new product introductions occur less frequently. For many of our solutions, early engagement with our customers’ technical staff is necessary for success.</w:t>
      </w:r>
    </w:p>
    <w:p>
      <w:pPr>
        <w:spacing w:after="0" w:line="184" w:lineRule="exact"/>
        <w:rPr>
          <w:sz w:val="20"/>
          <w:szCs w:val="20"/>
          <w:color w:val="auto"/>
        </w:rPr>
      </w:pPr>
    </w:p>
    <w:p>
      <w:pPr>
        <w:ind w:right="520" w:firstLine="510"/>
        <w:spacing w:after="0" w:line="259" w:lineRule="auto"/>
        <w:rPr>
          <w:sz w:val="20"/>
          <w:szCs w:val="20"/>
          <w:color w:val="auto"/>
        </w:rPr>
      </w:pPr>
      <w:r>
        <w:rPr>
          <w:rFonts w:ascii="Arial" w:cs="Arial" w:eastAsia="Arial" w:hAnsi="Arial"/>
          <w:sz w:val="18"/>
          <w:szCs w:val="18"/>
          <w:color w:val="auto"/>
        </w:rPr>
        <w:t>In fiscal year 2021, the customers representing 10% or more of revenue were Wintech Microelectronics Co., Ltd., or Wintech, our Asia-based distributor, and Chicony Electronics Co., Ltd., or Chicony, a direct ODM customer that manufactures products for multiple end-customers, which accounted for approximately 63% and 16% of total revenue, respectively. We currently rely, and expect to continue to rely, on a limited number of customers for a significant portion of our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sell our solutions worldwide using our direct sales force and our distributors. We have direct sales personnel covering the United States, Asia and Europe, and we operate sales offices in Santa Clara, California and Hong Kong, and business development offices in China, Japan, South Korea, and Taiwan. In addition, in each of these locations we employ a staff of field applications engineers to provide direct engineering support locally to our customers.</w:t>
      </w:r>
    </w:p>
    <w:p>
      <w:pPr>
        <w:spacing w:after="0" w:line="18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computer vision and video and image processing solution, but the eventual design and incorporation of our SoC into the product may be handled by an ODM or Tier-1 supplier on behalf of the OEM. Volume production may begin within nine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p>
    <w:p>
      <w:pPr>
        <w:spacing w:after="0" w:line="18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sales are generally made pursuant to purchase orders received approximately four to 30 weeks prior to the scheduled product delivery date, depending upon agreed terms with our customers and the current manufacturing lead time at the time the purchase order is received. These purchase orders may be cancelled without charge upon notification within an agreed period of time in advance of the delivery date, which may be as short as 30 days. Due to the scheduling requirements of our foundry, assembly and test contractors, we generally provide our contractors with our production forecasts and place firm orders for products with our suppliers up to 36 weeks prior to the anticipated delivery date, or potentially longer during times of acute capacity shortages, usually without a purchase order from our own customers.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Our sales are primarily made through standard purchase orders for delivery of products. Our manufacturing production is based on estimates and advance non-binding commitments from customers as to future purchases. We follow industry practice that allows customers to cancel, change or defer orders with limited advance notice prior to shipment. Given this practice, we do not believe that backlog is a reliable indicator of future revenue levels.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Wafer Fabrication</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have a history of using several process nodes from 130 nm through 5 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While we currently manufacture the majority of our solutions in the 28 nm, 14 nm and 10 nm process nodes, our most recent products are manufactured in the 5 nm process node. Currently, the substantial majority of our SoCs are supplied by Samsung in facilities located in Austin, Texas and South Korea, from whom we have the option to purchase both fully-assembled and tested products as well as tested die in wafer form for assembly. We also have products supplied by GlobalFoundries Inc.</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Assembly and Testing</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Samsung subcontracts the assembly and initial testing of the assembled chips it supplies to us to Signetics Corporation and STATS ChipPAC Ltd. In the case of purchases of tested die from Samsung, we contract the assembly to Advanced Semiconductor Engineering, Inc., or ASE. We contract the assembly of products supplied by Global Foundries Inc. to ASE. Final testing of all of our products is handled by King Yuan Electronics Co., Ltd. or Sigurd Corporation under the supervision of our engineers. All test software and related processes for our products are developed by our engineers. We continually monitor the results of testing at all of our test contractors to ensure that our testing procedures are properly implemented.</w:t>
      </w:r>
    </w:p>
    <w:p>
      <w:pPr>
        <w:spacing w:after="0" w:line="1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part of our total quality assurance program, our quality management system has been certified to ISO 9001:2015 standards. Our foundry vendors are also ISO 9001 certified.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believe our technology is a competitive advantage and we engage in substantial research and development efforts to develop new products and integrate AI computer vision capabilities into our HD and UHD video processing solutions. We believe that our continued success depends on our ability to both introduce improved versions of our existing solutions and to develop new solutions for the markets that we serve. As of January 31, 2021, 81%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software for the HD video market.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tradeoffs and advantages when determining which features and capabilities of our solutions should be implemented in hardware and in software.</w:t>
      </w:r>
    </w:p>
    <w:p>
      <w:pPr>
        <w:spacing w:after="0" w:line="166"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We have assembled a core team of experienced engineers and systems designers in four research and development design centers located in the United States, China, Italy, and Taiwan.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global semiconductor market in general, and the AI and video and image processing markets in particular, are highly competitive. We expect competition to increase and intensify as more and larger semiconductor companies enter our markets and as we penetrate new markets, such as the automotive OEM market. Increased competition could result in price pressure, reduced profitability and loss of market share, any of which could materially and adversely affect our business, revenue and operating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4" w:name="page15"/>
    <w:bookmarkEnd w:id="14"/>
    <w:p>
      <w:pPr>
        <w:ind w:right="20" w:firstLine="510"/>
        <w:spacing w:after="0" w:line="269" w:lineRule="auto"/>
        <w:rPr>
          <w:sz w:val="20"/>
          <w:szCs w:val="20"/>
          <w:color w:val="auto"/>
        </w:rPr>
      </w:pPr>
      <w:r>
        <w:rPr>
          <w:rFonts w:ascii="Arial" w:cs="Arial" w:eastAsia="Arial" w:hAnsi="Arial"/>
          <w:sz w:val="17"/>
          <w:szCs w:val="17"/>
          <w:color w:val="auto"/>
        </w:rPr>
        <w:t>Our competitors range from large, international companies offering a wide range of semiconductor products to smaller companies specializing in narrow markets. In the security camera market, our primary competitors include AMLogic Inc., HiSilicon Technologies Co., Ltd., or HiSilicon, which is owned by Huawei Technologies Co., Ingenic Semiconductor Co., Ltd., Novatek Microelectronics Corp., or Novatek, OmniVision Technologies, Inc., Qualcomm Incorporated, or Qualcomm, SigmaStar Technology Corp., Socionext Inc., or Socionext, an entity created from the merger of the system LSI businesses of Fujitsu Ltd. and Panasonic Corporation, and Texas Instruments Incorporated, or Texas Instruments, as well as vertically integrated divisions of security camera device OEMs, including Axis, Hanwha Techwin, and Google LLC, which is owned by Alphabet, Inc. In the automotive camera market, we compete against Allwinner Technology Co., Ltd., Horizon Robotics Inc., iCatch Technology, Inc., Mobileye, a subsidiary of Intel Corporation, or Intel, Novatek, NVIDIA Corporation, or NVIDIA, NXP Semiconductors N.V., Qualcomm, Renesas Electronics Corporation, Texas Instruments and Xilinx Inc. In the robotics and emerging applications market, our primary competitors are Fuzhou Rockchip Electronics Co., Ltd., NVIDIA, Qualcomm, and Texas Instruments. In the other applications markets, our primary competitors are HiSilicon, Movidius Ltd., a subsidiary of Intel, NVIDIA, Qualcomm, Socionext, and vertically integrated divisions of our OEM customer Dajiang Baiwang. Certain of our customers and suppliers also have divisions that produce products competitive with ours.</w:t>
      </w:r>
    </w:p>
    <w:p>
      <w:pPr>
        <w:spacing w:after="0" w:line="179"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compete successfully in the rapidly evolving camera markets depends on several factors, including:</w:t>
      </w:r>
    </w:p>
    <w:p>
      <w:pPr>
        <w:spacing w:after="0" w:line="117" w:lineRule="exact"/>
        <w:rPr>
          <w:sz w:val="20"/>
          <w:szCs w:val="20"/>
          <w:color w:val="auto"/>
        </w:rPr>
      </w:pPr>
    </w:p>
    <w:p>
      <w:pPr>
        <w:ind w:left="1000" w:right="6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and manufacturing of new solutions, including software, that anticipate the video processing and integration needs of our customers’ next-generation products and applications;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our computer vision solutions, as measured by convolutional neural network performance, video and still picture image quality, resolution and frame processing rates;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consumption efficiency of our solutions;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our customer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selection of the foundry process technology and architecture tradeoffs to meet customers’ product requirements in a timely manner;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 and reliability;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the total solution.</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believe we compete favorably with respect to these factors, particularly because our solutions typically provide high-performance and low power consumption video, CNN performance, efficient integration of our advanced algorithms, exceptional storage and transmission efficiencies at lower power,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rely on a combination of intellectual property rights, including patents, trade secrets, copyrights and trademarks, and contractual protections, to protect our core technology and intellectual property. As of January 31, 2021, we had 231 issued patents in the United States, 88 of which were continuation patents, 10 issued patents in Europe, 7 issued patents in China, 6 issued patents in Japan and 72 pending patent applications in the United States. The issued patents in the United States expire beginning in 2024 through 2039. Many of our issued patents and pending patent applications relate to image and video processing and HD video compression, AI processing, and system level camera applications spanning multiple market segments</w:t>
      </w:r>
      <w:r>
        <w:rPr>
          <w:rFonts w:ascii="Arial" w:cs="Arial" w:eastAsia="Arial" w:hAnsi="Arial"/>
          <w:sz w:val="16"/>
          <w:szCs w:val="16"/>
          <w:b w:val="1"/>
          <w:bCs w:val="1"/>
          <w:color w:val="auto"/>
        </w:rPr>
        <w: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5" w:name="page16"/>
    <w:bookmarkEnd w:id="15"/>
    <w:p>
      <w:pPr>
        <w:ind w:right="100" w:firstLine="510"/>
        <w:spacing w:after="0" w:line="259" w:lineRule="auto"/>
        <w:rPr>
          <w:sz w:val="20"/>
          <w:szCs w:val="20"/>
          <w:color w:val="auto"/>
        </w:rPr>
      </w:pPr>
      <w:r>
        <w:rPr>
          <w:rFonts w:ascii="Arial" w:cs="Arial" w:eastAsia="Arial" w:hAnsi="Arial"/>
          <w:sz w:val="18"/>
          <w:szCs w:val="18"/>
          <w:color w:val="auto"/>
        </w:rPr>
        <w:t>We may not receive competitive advantages from any rights granted under our patents, and our patent applications may not result in the issuance of any new patents. In addition, any patent we hold may be opposed, contested, circumvented, designed around by a third party or found to be unenforceable or invalidated. Others may develop technologies that are similar or superior to our proprietary technologies, duplicate our proprietary technologies or design around patents owned or licensed by us.</w:t>
      </w:r>
    </w:p>
    <w:p>
      <w:pPr>
        <w:spacing w:after="0" w:line="18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p>
    <w:p>
      <w:pPr>
        <w:spacing w:after="0" w:line="188"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5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tended to be seasonal with higher revenue in our second and third fiscal quarters as our customers typically increase their production to meet holiday shopping season or year-end demand for their products. We also may experience seasonally lower demand in our first and fourth fiscal quarters due in part to the Asia-based portion of the security camera market as a result of industry seasonality and the impact of ODM and OEM factory closures associated with the Chinese New Year holiday. These seasonal fluctuations may diminish if our revenue diversifies and becomes less dependent on sales of our customers’ consumer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21" w:lineRule="exact"/>
        <w:rPr>
          <w:sz w:val="20"/>
          <w:szCs w:val="20"/>
          <w:color w:val="auto"/>
        </w:rPr>
      </w:pPr>
    </w:p>
    <w:p>
      <w:pPr>
        <w:ind w:right="260" w:firstLine="510"/>
        <w:spacing w:after="0" w:line="287" w:lineRule="auto"/>
        <w:rPr>
          <w:sz w:val="20"/>
          <w:szCs w:val="20"/>
          <w:color w:val="auto"/>
        </w:rPr>
      </w:pPr>
      <w:r>
        <w:rPr>
          <w:rFonts w:ascii="Arial" w:cs="Arial" w:eastAsia="Arial" w:hAnsi="Arial"/>
          <w:sz w:val="16"/>
          <w:szCs w:val="16"/>
          <w:color w:val="auto"/>
        </w:rPr>
        <w:t>Our business and operations around the world are subject to government regulation at the national, state or local level addressing, among other matters, applicable environmental laws, health and safety laws and regulations, laws relating to export controls and economic sanctions, and the rules of industrial standards bodies such as the International Standards Organization and governmental agencies such as the Federal Trade Commission.</w:t>
      </w:r>
    </w:p>
    <w:p>
      <w:pPr>
        <w:spacing w:after="0" w:line="2"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We believe that our properties and operations comply in all material respects with applicable laws protecting the environment and worker health and safety. As a fabless semiconductor company, we do not manufacture our own products but do maintain laboratory space at certain of our facilities to facilitate the development, evaluation and testing of our SoC products. These laboratories may maintain small quantities of hazardous materials. While we believe we are in material compliance with applicable law concerning the safeguarding of these materials and with respect to other matters relating to health, safety and the environment, the risk of liability relating to hazardous conditions or materials cannot be eliminated completely. To date, we have not incurred significant expenditures relating to environmental compliance at our facilities nor have we experienced any material issues relating to employee health and safety.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ind w:firstLine="510"/>
        <w:spacing w:after="0" w:line="269" w:lineRule="auto"/>
        <w:rPr>
          <w:sz w:val="20"/>
          <w:szCs w:val="20"/>
          <w:color w:val="auto"/>
        </w:rPr>
      </w:pPr>
      <w:r>
        <w:rPr>
          <w:rFonts w:ascii="Arial" w:cs="Arial" w:eastAsia="Arial" w:hAnsi="Arial"/>
          <w:sz w:val="17"/>
          <w:szCs w:val="17"/>
          <w:color w:val="auto"/>
        </w:rPr>
        <w:t>In addition to environmental and worker health and safety laws, our business is subject to various rules and regulations and executive orders relating to export controls and trade sanctions. Certain of our products are subject to the Export Administration Regulations (EAR), which are administered by the United States Department of Commerce’s Bureau of Industry and Security (BIS), and we may from time to time be required to obtain an export license before we can export certain products or technology to specified countries or customers. In addition, the EAR imposes broad controls on entities listed on sanctioned persons lists, including the BIS Entity List. If one of our customers is listed on the BIS Entity List or another U.S. government sanctioned persons’ list, then subject to certain exceptions, we will, as a general rule, be precluded from doing business with that customer. For example, certain of our Chinese customers, or their affiliated entities, have been added to the BIS Entity List in the last couple of years, which limits our ability to ship certain products to these customers. We cannot guarantee that export control restrictions or sanctions imposed in the future will not prevent, or materially limit, our ability to conduct business with certain customers or in certain countries. Any failure to comply with these laws could result in governmental enforcement actions, including substantial monetary penalties and denial of export privileges.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Innovation has been the lifeblood of our company since our founding in 2004. We have continually strived to develop leading-edge image and video, and now AI, processors using the most advanced semiconductor processes available. We depend on our people to sustain our competitive advantages.</w:t>
      </w:r>
    </w:p>
    <w:p>
      <w:pPr>
        <w:spacing w:after="0" w:line="21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As of January 31, 2021, we employed a total of 786 people, including 186 in the United States, 539 in Asia, primarily in China and Taiwan, and 61 in Europe. Approximately 81% of our employees are engaged in research and development, 3% in operations, and 16% in sales, marketing, and administration. As of January 31, 2021, females represented 22% of our outside directors, 19% of senior management, 16% of our technical roles, and 22% of our total workforce. Of our total employee workforce, 42% is represented by a work council in Taiwan. The work council group, which is common in Taiwan, is comprised of employees elected by the general employee base in that location. We consider our global employee relations to be good. Despite employees working in geographically disparate locations and differences in cultures, we strive to treat all employees as part of one team working together. Our Chief Executive Officer holds quarterly town hall style meetings with employees of all of our offices to keep employees apprised of company activities and objectives and to provide an opportunity for all employees to meet and ask questions.</w:t>
      </w:r>
    </w:p>
    <w:p>
      <w:pPr>
        <w:spacing w:after="0" w:line="20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human capital resources objectives include attracting and retaining talented and experienced employees. We utilize multiple online search tools, specialized recruiting firms, employee referral programs and university hires to ensure a varied outreach approach for candidates. We are committed to ensuring the human rights of our worldwide workforce and treating all employees with dignity and respect.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the success of our company by motivating such individuals to perform to the best of their abilities and achieve both our short and long-term objectives. We offer competitive benefits tailored to local markets and laws and designed to support employee health, welfare and retirement; examples of such benefits include paid time off; 401(k), pension or other retirement plans; an employee stock purchase plan; basic and voluntary life, disability and supplemental insurance; medical, dental and vision insurance; health savings and flexible spending accounts; relocation assistance; and employee assistance programs.</w:t>
      </w:r>
    </w:p>
    <w:p>
      <w:pPr>
        <w:spacing w:after="0" w:line="166"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The average tenure of our employees is approximately 6.74 years and approximately 26% of our employees have been employed by us for more than 10 years. We believe our compensation and benefits packages, combined with our culture that promotes teamwork, innovation and hands-on experience from the first day of employment, contribute to low employee turnover and an above-average tenure. We monitor employee turnover rates by region and our company as a whole. Our worldwide voluntary employee turnover rate in fiscal year 2021 was approximately 5.6%.</w:t>
      </w:r>
    </w:p>
    <w:p>
      <w:pPr>
        <w:spacing w:after="0" w:line="15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Our primary focus during the COVID-19 pandemic has been protecting the health and safety of our employees and the communities in which we operate. In our locations that have experienced consistently high rates of infection, such as the United States and Italy, employees have worked from home since March 2020, except for those few performing a small number of tasks that cannot be performed remotely. In other locations, employees have worked from home during certain periods of the pandemic as recommended by local health officials.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Ambarella was founded and incorporated in the Cayman Islands in January 2004. Our registered address is PO Box 309GT, Ugland House, South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Church Street, George Town, Grand Cayman, Cayman Islands. The address of our U.S. operating subsidiary is Ambarella Corporation, 3101 Jay Street,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Santa Clara, California. The Securities and Exchange Commission, or SEC, maintains a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statements, and other information regarding registrants that file electronically. You may also obtain copies of our Forms 10-K, 10-Q, 8-K,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filings with the SEC, and all amendments to these filings, free of charge, by visiting the Investor Relations page on our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http://investor.ambarella.com)</w:t>
      </w:r>
      <w:r>
        <w:rPr>
          <w:rFonts w:ascii="Arial" w:cs="Arial" w:eastAsia="Arial" w:hAnsi="Arial"/>
          <w:sz w:val="16"/>
          <w:szCs w:val="16"/>
          <w:color w:val="auto"/>
        </w:rPr>
        <w:t xml:space="preserve"> as soon as reasonably practicable following our filing of any of these reports with the SEC. Information on our website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incorporated into this Annual Report on Form 10-K or our other securities filings and is not a part of such filings.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and our industry is subject to numerous risks and uncertainties, including those described in the following Risk Factors. These risks include, but are not limited to, the following:</w:t>
      </w:r>
    </w:p>
    <w:p>
      <w:pPr>
        <w:spacing w:after="0" w:line="170"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could adversely affect our business in a material way.</w:t>
      </w:r>
    </w:p>
    <w:p>
      <w:pPr>
        <w:spacing w:after="0" w:line="225" w:lineRule="exact"/>
        <w:rPr>
          <w:rFonts w:ascii="Arial" w:cs="Arial" w:eastAsia="Arial" w:hAnsi="Arial"/>
          <w:sz w:val="18"/>
          <w:szCs w:val="18"/>
          <w:color w:val="auto"/>
        </w:rPr>
      </w:pPr>
    </w:p>
    <w:p>
      <w:pPr>
        <w:ind w:left="740" w:right="300" w:hanging="368"/>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sell our products to several China customers has been restricted. In addition, we are subject to governmental export and import controls that could subject us to liability or impair our ability to compete in international markets, including China.</w:t>
      </w:r>
    </w:p>
    <w:p>
      <w:pPr>
        <w:spacing w:after="0" w:line="146"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recent political, social and economic conditions in Hong Kong.</w:t>
      </w:r>
    </w:p>
    <w:p>
      <w:pPr>
        <w:spacing w:after="0" w:line="183"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70"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23" w:lineRule="exact"/>
        <w:rPr>
          <w:rFonts w:ascii="Arial" w:cs="Arial" w:eastAsia="Arial" w:hAnsi="Arial"/>
          <w:sz w:val="16"/>
          <w:szCs w:val="16"/>
          <w:color w:val="auto"/>
        </w:rPr>
      </w:pPr>
    </w:p>
    <w:p>
      <w:pPr>
        <w:ind w:left="740" w:right="12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customers do not design our solutions into their product offerings, or if our customers’ product offerings are not commercially successful, our business would suffer.</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penetrate new markets, our revenue and financial condition could be harmed.</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target markets may not grow or develop as we currently expect and are subject to market risks, any of which could harm our business, revenue and operating results.</w:t>
      </w:r>
    </w:p>
    <w:p>
      <w:pPr>
        <w:spacing w:after="0" w:line="170"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develop and introduce new or enhanced solutions on a timely basis, our ability to attract and retain customers could be impaired and our competitive position could be harmed.</w:t>
      </w:r>
    </w:p>
    <w:p>
      <w:pPr>
        <w:spacing w:after="0" w:line="170" w:lineRule="exact"/>
        <w:rPr>
          <w:rFonts w:ascii="Arial" w:cs="Arial" w:eastAsia="Arial" w:hAnsi="Arial"/>
          <w:sz w:val="18"/>
          <w:szCs w:val="18"/>
          <w:color w:val="auto"/>
        </w:rPr>
      </w:pPr>
    </w:p>
    <w:p>
      <w:pPr>
        <w:ind w:left="740" w:right="120" w:hanging="368"/>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8" w:name="page19"/>
    <w:bookmarkEnd w:id="18"/>
    <w:p>
      <w:pPr>
        <w:ind w:left="368" w:right="50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70" w:lineRule="exact"/>
        <w:rPr>
          <w:rFonts w:ascii="Arial" w:cs="Arial" w:eastAsia="Arial" w:hAnsi="Arial"/>
          <w:sz w:val="18"/>
          <w:szCs w:val="18"/>
          <w:color w:val="auto"/>
        </w:rPr>
      </w:pPr>
    </w:p>
    <w:p>
      <w:pPr>
        <w:ind w:left="368" w:right="58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170" w:lineRule="exact"/>
        <w:rPr>
          <w:rFonts w:ascii="Arial" w:cs="Arial" w:eastAsia="Arial" w:hAnsi="Arial"/>
          <w:sz w:val="18"/>
          <w:szCs w:val="18"/>
          <w:color w:val="auto"/>
        </w:rPr>
      </w:pPr>
    </w:p>
    <w:p>
      <w:pPr>
        <w:ind w:left="368" w:right="54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on a limited number of customers and end customers for a significant portion of our revenue. If we fail to retain or expand our customer relationships, our revenue could decline.</w:t>
      </w:r>
    </w:p>
    <w:p>
      <w:pPr>
        <w:spacing w:after="0" w:line="170" w:lineRule="exact"/>
        <w:rPr>
          <w:rFonts w:ascii="Arial" w:cs="Arial" w:eastAsia="Arial" w:hAnsi="Arial"/>
          <w:sz w:val="18"/>
          <w:szCs w:val="18"/>
          <w:color w:val="auto"/>
        </w:rPr>
      </w:pPr>
    </w:p>
    <w:p>
      <w:pPr>
        <w:ind w:left="368" w:right="44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governmental export and import controls that could subject us to liability or impair our ability to compete in international markets.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competition to increase in the future, which could have an adverse effect on our revenue and market share.</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 on a quarterly and annual basis could cause the market price of our ordinary shares to decline.</w:t>
      </w:r>
    </w:p>
    <w:p>
      <w:pPr>
        <w:spacing w:after="0" w:line="225" w:lineRule="exact"/>
        <w:rPr>
          <w:rFonts w:ascii="Arial" w:cs="Arial" w:eastAsia="Arial" w:hAnsi="Arial"/>
          <w:sz w:val="18"/>
          <w:szCs w:val="18"/>
          <w:color w:val="auto"/>
        </w:rPr>
      </w:pPr>
    </w:p>
    <w:p>
      <w:pPr>
        <w:ind w:left="368" w:right="26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we intend to continue to invest in research and development, we may be unable to make the substantial investments that are required to remain competitive in our business.</w:t>
      </w:r>
    </w:p>
    <w:p>
      <w:pPr>
        <w:spacing w:after="0" w:line="170" w:lineRule="exact"/>
        <w:rPr>
          <w:rFonts w:ascii="Arial" w:cs="Arial" w:eastAsia="Arial" w:hAnsi="Arial"/>
          <w:sz w:val="18"/>
          <w:szCs w:val="18"/>
          <w:color w:val="auto"/>
        </w:rPr>
      </w:pPr>
    </w:p>
    <w:p>
      <w:pPr>
        <w:ind w:left="368" w:right="8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generate revenue growth, we may not be able to execute our business plan and our operating results could suffer.</w:t>
      </w:r>
    </w:p>
    <w:p>
      <w:pPr>
        <w:spacing w:after="0" w:line="225" w:lineRule="exact"/>
        <w:rPr>
          <w:rFonts w:ascii="Arial" w:cs="Arial" w:eastAsia="Arial" w:hAnsi="Arial"/>
          <w:sz w:val="18"/>
          <w:szCs w:val="18"/>
          <w:color w:val="auto"/>
        </w:rPr>
      </w:pPr>
    </w:p>
    <w:p>
      <w:pPr>
        <w:ind w:left="368" w:right="66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We may have difficulty accurately predicting our future revenue and appropriately budgeting our expenses.</w:t>
      </w:r>
    </w:p>
    <w:p>
      <w:pPr>
        <w:spacing w:after="0" w:line="170" w:lineRule="exact"/>
        <w:rPr>
          <w:rFonts w:ascii="Arial" w:cs="Arial" w:eastAsia="Arial" w:hAnsi="Arial"/>
          <w:sz w:val="18"/>
          <w:szCs w:val="18"/>
          <w:color w:val="auto"/>
        </w:rPr>
      </w:pPr>
    </w:p>
    <w:p>
      <w:pPr>
        <w:ind w:left="368" w:right="80" w:hanging="368"/>
        <w:spacing w:after="0" w:line="263"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83"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warranty and product liability claims and to product recalls which could adversely affect our business.</w:t>
      </w:r>
    </w:p>
    <w:p>
      <w:pPr>
        <w:spacing w:after="0" w:line="225" w:lineRule="exact"/>
        <w:rPr>
          <w:rFonts w:ascii="Arial" w:cs="Arial" w:eastAsia="Arial" w:hAnsi="Arial"/>
          <w:sz w:val="18"/>
          <w:szCs w:val="18"/>
          <w:color w:val="auto"/>
        </w:rPr>
      </w:pPr>
    </w:p>
    <w:p>
      <w:pPr>
        <w:ind w:left="368" w:right="4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product inventories.</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of the financial conditions of our customers could adversely affect our operating results.</w:t>
      </w:r>
    </w:p>
    <w:p>
      <w:pPr>
        <w:spacing w:after="0" w:line="225" w:lineRule="exact"/>
        <w:rPr>
          <w:rFonts w:ascii="Arial" w:cs="Arial" w:eastAsia="Arial" w:hAnsi="Arial"/>
          <w:sz w:val="18"/>
          <w:szCs w:val="18"/>
          <w:color w:val="auto"/>
        </w:rPr>
      </w:pPr>
    </w:p>
    <w:p>
      <w:pPr>
        <w:ind w:left="368"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Camera manufacturers incorporate components supplied by multiple third parties, and a supply shortage or delay in delivery of these components could delay orders for our solutions by our customers.</w:t>
      </w:r>
    </w:p>
    <w:p>
      <w:pPr>
        <w:spacing w:after="0" w:line="170"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70" w:lineRule="exact"/>
        <w:rPr>
          <w:rFonts w:ascii="Arial" w:cs="Arial" w:eastAsia="Arial" w:hAnsi="Arial"/>
          <w:sz w:val="18"/>
          <w:szCs w:val="18"/>
          <w:color w:val="auto"/>
        </w:rPr>
      </w:pPr>
    </w:p>
    <w:p>
      <w:pPr>
        <w:ind w:left="368" w:right="300" w:hanging="368"/>
        <w:spacing w:after="0" w:line="263"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83" w:lineRule="exact"/>
        <w:rPr>
          <w:rFonts w:ascii="Arial" w:cs="Arial" w:eastAsia="Arial" w:hAnsi="Arial"/>
          <w:sz w:val="18"/>
          <w:szCs w:val="18"/>
          <w:color w:val="auto"/>
        </w:rPr>
      </w:pPr>
    </w:p>
    <w:p>
      <w:pPr>
        <w:ind w:left="368" w:hanging="368"/>
        <w:spacing w:after="0"/>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breach of our security systems may have a material adverse effect on our business.</w:t>
      </w:r>
    </w:p>
    <w:p>
      <w:pPr>
        <w:spacing w:after="0" w:line="225" w:lineRule="exact"/>
        <w:rPr>
          <w:rFonts w:ascii="Arial" w:cs="Arial" w:eastAsia="Arial" w:hAnsi="Arial"/>
          <w:sz w:val="18"/>
          <w:szCs w:val="18"/>
          <w:color w:val="auto"/>
        </w:rPr>
      </w:pPr>
    </w:p>
    <w:p>
      <w:pPr>
        <w:ind w:left="368" w:right="20" w:hanging="368"/>
        <w:spacing w:after="0" w:line="308" w:lineRule="auto"/>
        <w:tabs>
          <w:tab w:leader="none" w:pos="3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92" w:top="584" w:right="379" w:bottom="1440" w:gutter="0" w:footer="0" w:header="0"/>
        </w:sectPr>
      </w:pPr>
    </w:p>
    <w:bookmarkStart w:id="19" w:name="page20"/>
    <w:bookmarkEnd w:id="19"/>
    <w:p>
      <w:pPr>
        <w:ind w:left="740" w:right="10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70" w:lineRule="exact"/>
        <w:rPr>
          <w:rFonts w:ascii="Arial" w:cs="Arial" w:eastAsia="Arial" w:hAnsi="Arial"/>
          <w:sz w:val="18"/>
          <w:szCs w:val="18"/>
          <w:color w:val="auto"/>
        </w:rPr>
      </w:pPr>
    </w:p>
    <w:p>
      <w:pPr>
        <w:ind w:left="740" w:right="76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numerous regulatory compliance requirements, which are costly to comply with, and our failure to comply with these requirements could harm our business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in many of our offices, including the United States, Italy, Japan and South Korea. While we have not yet experienced a significant disruption of our operations as a result of the COVID-19 pandemic, if the remote or work from home conditions continue for an extended period of time, we may experience delays in product development, a decreased ability to support our customers, reduced design win activity, and overall lack of productivity.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Depending on the magnitude of such effects on our manufacturing activities or the operations of our suppliers, third-party distributors or sub-contractors, our supply chain, manufacturing and product shipments could be delayed, which could materially adversely affect our business, results of operations and financial condition. Disruptions may also adversely affect our customers’ ability to manufacture their products, which in turn could reduce their demand for our products. In addition, the COVID-19 pandemic or other disease outbreaks will, in the short-term, and could over the longer term, adversely affect the economies and financial markets of many countries, resulting in an economic downturn or recession that could adversely affect demand for our products and impact our results of operations and financial condition. There can be no assurance that any decrease in sales resulting from the COVID-19 pandemic will be offset by increased sales in subsequent periods.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speed with which the situation is developing, we are not able at this time to estimate the long-term effect of these factors on our business, but the adverse impact on our business, results of operations, financial condition and cash flows could be material.</w:t>
      </w:r>
    </w:p>
    <w:p>
      <w:pPr>
        <w:spacing w:after="0" w:line="16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0" w:lineRule="exact"/>
        <w:rPr>
          <w:sz w:val="20"/>
          <w:szCs w:val="20"/>
          <w:color w:val="auto"/>
        </w:rPr>
      </w:pPr>
    </w:p>
    <w:p>
      <w:pPr>
        <w:ind w:right="80" w:firstLine="510"/>
        <w:spacing w:after="0" w:line="227" w:lineRule="auto"/>
        <w:rPr>
          <w:sz w:val="20"/>
          <w:szCs w:val="20"/>
          <w:color w:val="auto"/>
        </w:rPr>
      </w:pPr>
      <w:r>
        <w:rPr>
          <w:rFonts w:ascii="Arial" w:cs="Arial" w:eastAsia="Arial" w:hAnsi="Arial"/>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suffer. Moreover, if we are successful in achieving design wins in these new markets, it will likely take longer to generate revenue from such design wins than in our current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primary inventory warehouse is located in Hong Kong and may be affected by recent political, social and economic conditions in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Kong.</w:t>
      </w:r>
    </w:p>
    <w:p>
      <w:pPr>
        <w:spacing w:after="0" w:line="10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logistic partners. BIS has imposed additional restrictions on exports and reexports of U.S.-controlled items to Hong Kong by removing preferential treatment that Hong Kong used to receive and imposing more stringent licensing requirements similar to those applicable to China. Hong Kong has recently experienced, and continues to experience, significant political unrest and social strife, including protests that resulted in the closing of the Hong Kong international airport on August 12, 2019 for two days. In response to national security legislation adopted by the Chinese government, the U.S. Secretary of State certified to the U.S. Congress on May 27,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7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ind w:right="480" w:firstLine="510"/>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71"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9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2021, the customers representing 10% or more of our revenue were WT Microelectronics Co., Ltd., formerly Wintech Microelectronics Co., Ltd., or Wintech, the Company’s distributor, and Chicony Electronics Co., Ltd., or Chicony, a direct ODM customer, which accounted for approximately 63% and 16%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7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right="100" w:firstLine="510"/>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8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global semiconductor market in general, and the computer vision,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competitors range from large, international companies with greater resources offering a wide range of semiconductor products to smaller, nimble companies specializing in narrow markets. In the security camera market, our primary competitors include AMLogic Inc., HiSilicon Technologies Co., Ltd., or HiSilicon, which is owned by Huawei Technologies Co., Ingenic Semiconductor Co., Ltd., Novatek Microelectronics Corp., or Novatek, OmniVision Technologies, Inc., Qualcomm Incorporated, or Qualcomm, SigmaStar Technology Corp., Socionext Inc., or Socionext, an entity created from the merger of the system LSI businesses of Fujitsu Ltd. and Panasonic Corporation, and Texas Instruments Incorporated, or Texas Instruments, as well as vertically integrated divisions of security camera device OEMs, including Axis, Hanwha Techwin, and Google LLC, which is owned by Alphabet, Inc. In the automotive camera market, we primarily compete against Allwinner Technology Co., Ltd., Horizon Robotics Inc., iCatch Technology, Inc., Mobileye, a subsidiary of Intel Corporation, or Intel, Novatek, NVIDIA Corporation, or NVIDIA, NXP Semiconductors N.V., Qualcomm, Renesas Electronics Corporation, Texas Instruments and Xilinx Inc. In the robotics and emerging applications markets, our primary competitors are Fuzhou Rockchip Electronics Co., Ltd., NVIDIA, Qualcomm, and Texas Instruments. In the other applications markets, our primary competitors are HiSilicon, Movidius Ltd., a subsidiary of Intel, NVIDIA, Qualcomm, Socionext, and vertically integrated divisions of our OEM customer, Dajiang Baiwang.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ind w:right="160" w:firstLine="510"/>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20" w:right="6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computer vision, video and image processing technologies and sales and marketing personnel.</w:t>
      </w:r>
    </w:p>
    <w:p>
      <w:pPr>
        <w:spacing w:after="0" w:line="170"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$140.8 million, $129.7 million and $128.1 million in fiscal years 2021, 2020 and 2019, respectively.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10nm and 5nm, cost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from companies with which we do not directly compete in our markets.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62"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14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20" w:right="100" w:hanging="500"/>
        <w:spacing w:after="0" w:line="263"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75"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20" w:right="200" w:hanging="5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able to secure sufficient manufacturing capacity.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20" w:firstLine="510"/>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Deterioration of the financial condition of our distributors or customers could adversely impact our collection of accounts receivable. For the twelve months ended January 31, 2021, the customers representing 10% or more of revenue and accounts receivable were Wintech and Chicony, which accounted for approximately 63% and 16% of total revenue, respectively. As of January 31, 2021, accounts receivable with Wintech and Chicony were approximately $12.0 million and $8.6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w:t>
      </w:r>
    </w:p>
    <w:p>
      <w:pPr>
        <w:spacing w:after="0" w:line="168"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6" w:name="page27"/>
    <w:bookmarkEnd w:id="26"/>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Samsung, who is one of the few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ind w:right="520" w:firstLine="510"/>
        <w:spacing w:after="0" w:line="375"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3" w:lineRule="exact"/>
        <w:rPr>
          <w:sz w:val="20"/>
          <w:szCs w:val="20"/>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20" w:right="80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20" w:right="58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20" w:right="84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37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8" w:name="page29"/>
    <w:bookmarkEnd w:id="28"/>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investment or other asset values;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right="180" w:firstLine="510"/>
        <w:spacing w:after="0" w:line="291" w:lineRule="auto"/>
        <w:rPr>
          <w:sz w:val="20"/>
          <w:szCs w:val="20"/>
          <w:color w:val="auto"/>
        </w:rPr>
      </w:pPr>
      <w:r>
        <w:rPr>
          <w:rFonts w:ascii="Arial" w:cs="Arial" w:eastAsia="Arial" w:hAnsi="Arial"/>
          <w:sz w:val="16"/>
          <w:szCs w:val="16"/>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 23% in fiscal year 2019 compared to fiscal year 2018, and we incurred our first annual net losses since our initial public offering, or IPO, in 2012. For the fiscal year ended January 31, 2021, our revenue decreased by 2.5% compared to fiscal year 2020, and we incurred a net loss of $59.8 million. We may experience similar fluctuations or declines in revenue or net losses in the future, which would harm our operating results.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23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We believe that our future revenue growth, if any, will significantly depend on our ability to expand within our existing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In fiscal year 2021, our revenue decreased by 2.5% compared to fiscal year 2020 to $ 223.0 million, and we incurred a net loss of $59.8 million. Accordingly, if we are unable to generate or maintain adequate revenue growth, our financial results could suffer and our stock price could decline.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at reasonable terms.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6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90% and 87% of our total revenue in fiscal years 2021, 2020 and 2019, respectively.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ind w:right="20" w:firstLine="510"/>
        <w:spacing w:after="0" w:line="255" w:lineRule="auto"/>
        <w:rPr>
          <w:sz w:val="20"/>
          <w:szCs w:val="20"/>
          <w:color w:val="auto"/>
        </w:rPr>
      </w:pPr>
      <w:r>
        <w:rPr>
          <w:rFonts w:ascii="Arial" w:cs="Arial" w:eastAsia="Arial" w:hAnsi="Arial"/>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which could materially and adversely affect our financial results.</w:t>
      </w:r>
    </w:p>
    <w:p>
      <w:pPr>
        <w:spacing w:after="0" w:line="6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As of January 31, 2021, we had approximately $214.8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right="20" w:firstLine="510"/>
        <w:spacing w:after="0" w:line="271" w:lineRule="auto"/>
        <w:rPr>
          <w:sz w:val="20"/>
          <w:szCs w:val="20"/>
          <w:color w:val="auto"/>
        </w:rPr>
      </w:pPr>
      <w:r>
        <w:rPr>
          <w:rFonts w:ascii="Arial" w:cs="Arial" w:eastAsia="Arial" w:hAnsi="Arial"/>
          <w:sz w:val="17"/>
          <w:szCs w:val="17"/>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5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20" w:firstLine="510"/>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6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6"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sell a significant percentage of our solutions through a single distributor, Wintech, which serves as our non-exclusive sales representative in Asia, other than Japan. Approximately 63%, 60% and 58% of our revenue was derived from sales through Wintech for the fiscal years ended January 31, 2021, 2020 and 2019. We anticipate that a significant portion of our revenue will continue to be derived from sales through Wintech in the foreseeable future. In November 2019, WPG Holdings Co., or WPG, a Taiwan distributor, announced an unsolicited bid to acquire up to 30% of Wintech. In January 2020, WPG acquired approximately 17% of Wintech, but indicated it intended to remain a passive investor in Wintech. While the ultimate outcome of WPG’s bid is unknown at this time,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0"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6"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340" w:firstLine="510"/>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8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of Dajiang Baiwang, were added to the Entity List. While the addition of Hikvision, Dahua and affiliates of Dajiang Baiwang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Beyond the BIS actions relating to Hikvision, Dahua and affiliates of Dajiang Baiwang, general trade tensions between the United States and China have been escalating, which has, in our view, created and will continue to create an uncertain business environment. For example, BIS has added over 150 entities related to Huawei Technologies Co., Ltd. to the Entity List and created new controls on foreign-produced items when one of these entities is a party to the transaction.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5" w:name="page36"/>
    <w:bookmarkEnd w:id="35"/>
    <w:p>
      <w:pPr>
        <w:ind w:right="340" w:firstLine="584"/>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140" w:firstLine="584"/>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117"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Similarly, California has adopted the California Consumer Privacy Act of 2018, or CCPA, which took effect in 2020. The CCPA gives California residents the right to access, delete and opt out of certain sharing of their information, and imposes penalties for failure to comply.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6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4"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10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2021 fiscal year or the foreseeable future. However, a separate determination must be made at the close of each taxable year as to whether we are a PFIC for that taxable year, and we cannot assure you that we will not be a PFIC for our 2022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ind w:right="80" w:firstLine="510"/>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9" w:lineRule="exact"/>
        <w:rPr>
          <w:sz w:val="20"/>
          <w:szCs w:val="20"/>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w:t>
      </w:r>
    </w:p>
    <w:p>
      <w:pPr>
        <w:spacing w:after="0" w:line="62" w:lineRule="exact"/>
        <w:rPr>
          <w:rFonts w:ascii="Arial" w:cs="Arial" w:eastAsia="Arial" w:hAnsi="Arial"/>
          <w:sz w:val="18"/>
          <w:szCs w:val="18"/>
          <w:color w:val="auto"/>
        </w:rPr>
      </w:pPr>
    </w:p>
    <w:p>
      <w:pPr>
        <w:ind w:left="1520" w:right="14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80" w:firstLine="450"/>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0" w:name="page41"/>
    <w:bookmarkEnd w:id="40"/>
    <w:p>
      <w:pPr>
        <w:ind w:firstLine="405"/>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6" w:lineRule="exact"/>
        <w:rPr>
          <w:sz w:val="20"/>
          <w:szCs w:val="20"/>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the economic performance or market valuations of companies perceived by investors to be comparable to us;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including conditions caused by pandemics, and slow or negative growth of related markets;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520" w:right="280" w:hanging="5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1" w:name="page42"/>
    <w:bookmarkEnd w:id="41"/>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not meet or exceed our guidance and investor expectations, which would likely cause our stock price to decline.</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20" w:hanging="500"/>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20" w:right="80" w:hanging="5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20" w:right="20" w:hanging="500"/>
        <w:spacing w:after="0" w:line="342" w:lineRule="auto"/>
        <w:tabs>
          <w:tab w:leader="none" w:pos="1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20" w:right="100" w:hanging="5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ind w:left="1520" w:right="300" w:hanging="500"/>
        <w:spacing w:after="0" w:line="342" w:lineRule="auto"/>
        <w:tabs>
          <w:tab w:leader="none" w:pos="1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39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corporate headquarters are located in Santa Clara, California, consisting of approximately 58,700 square feet of facility spaces under leases that expire in August 2025. These facilities accommodate our principal sales, marketing, research and development, finance, and administration activities. We lease approximately 82,300 square feet of facility spaces in Hsinchu, Taiwan under lease agreements that expire in December 2021. The Taiwan facilities accommodate research and development, business development, operations, and administration support. We lease approximately 39,800 square feet of facility spaces in Shanghai and Shenzhen, China, under leases that expire in November 2021 and September 2022, respectively, to support research and business development. We lease approximately 12,100 square feet of office space in Italy for research and development under lease agreement that expire in December 2048. We lease additional facilities in Hong Kong for sales and inventory warehousing and in Japan and South Korea for our local business development personnel under leases that expire in November 2021, April 2021 and September 2021,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believe that our existing facilities are well maintained and in good operating condition, and are sufficient for our needs for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locations and primary usage as of January 31, 2021: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Approximate</w:t>
            </w:r>
          </w:p>
        </w:tc>
        <w:tc>
          <w:tcPr>
            <w:tcW w:w="7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Square</w:t>
            </w:r>
          </w:p>
        </w:tc>
        <w:tc>
          <w:tcPr>
            <w:tcW w:w="7100" w:type="dxa"/>
            <w:vAlign w:val="bottom"/>
          </w:tcPr>
          <w:p>
            <w:pPr>
              <w:spacing w:after="0"/>
              <w:rPr>
                <w:sz w:val="14"/>
                <w:szCs w:val="14"/>
                <w:color w:val="auto"/>
              </w:rPr>
            </w:pPr>
          </w:p>
        </w:tc>
      </w:tr>
      <w:tr>
        <w:trPr>
          <w:trHeight w:val="171"/>
        </w:trPr>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Major Locations</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Footage</w:t>
            </w:r>
          </w:p>
        </w:tc>
        <w:tc>
          <w:tcPr>
            <w:tcW w:w="7100" w:type="dxa"/>
            <w:vAlign w:val="bottom"/>
          </w:tcPr>
          <w:p>
            <w:pPr>
              <w:ind w:left="3360"/>
              <w:spacing w:after="0"/>
              <w:rPr>
                <w:sz w:val="20"/>
                <w:szCs w:val="20"/>
                <w:color w:val="auto"/>
              </w:rPr>
            </w:pPr>
            <w:r>
              <w:rPr>
                <w:rFonts w:ascii="Arial" w:cs="Arial" w:eastAsia="Arial" w:hAnsi="Arial"/>
                <w:sz w:val="14"/>
                <w:szCs w:val="14"/>
                <w:b w:val="1"/>
                <w:bCs w:val="1"/>
                <w:color w:val="auto"/>
              </w:rPr>
              <w:t>Usage</w:t>
            </w:r>
          </w:p>
        </w:tc>
      </w:tr>
      <w:tr>
        <w:trPr>
          <w:trHeight w:val="223"/>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100" w:type="dxa"/>
            <w:vAlign w:val="bottom"/>
            <w:tcBorders>
              <w:top w:val="single" w:sz="8" w:color="auto"/>
            </w:tcBorders>
            <w:shd w:val="clear" w:color="auto" w:fill="CFF0FC"/>
          </w:tcPr>
          <w:p>
            <w:pPr>
              <w:spacing w:after="0"/>
              <w:rPr>
                <w:sz w:val="19"/>
                <w:szCs w:val="19"/>
                <w:color w:val="auto"/>
              </w:rPr>
            </w:pPr>
          </w:p>
        </w:tc>
      </w:tr>
      <w:tr>
        <w:trPr>
          <w:trHeight w:val="215"/>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Santa Clara, California</w:t>
            </w:r>
          </w:p>
        </w:tc>
        <w:tc>
          <w:tcPr>
            <w:tcW w:w="1340" w:type="dxa"/>
            <w:vAlign w:val="bottom"/>
          </w:tcPr>
          <w:p>
            <w:pPr>
              <w:jc w:val="right"/>
              <w:spacing w:after="0"/>
              <w:rPr>
                <w:sz w:val="20"/>
                <w:szCs w:val="20"/>
                <w:color w:val="auto"/>
              </w:rPr>
            </w:pPr>
            <w:r>
              <w:rPr>
                <w:rFonts w:ascii="Arial" w:cs="Arial" w:eastAsia="Arial" w:hAnsi="Arial"/>
                <w:sz w:val="18"/>
                <w:szCs w:val="18"/>
                <w:color w:val="auto"/>
              </w:rPr>
              <w:t>58,700</w:t>
            </w:r>
          </w:p>
        </w:tc>
        <w:tc>
          <w:tcPr>
            <w:tcW w:w="2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Corporate Headquarters; Sales; Marketing; Research and Development; Finance;</w:t>
            </w:r>
          </w:p>
        </w:tc>
      </w:tr>
      <w:tr>
        <w:trPr>
          <w:trHeight w:val="230"/>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Administration</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Pacific:</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19"/>
                <w:szCs w:val="19"/>
                <w:color w:val="auto"/>
              </w:rPr>
            </w:pPr>
          </w:p>
        </w:tc>
      </w:tr>
      <w:tr>
        <w:trPr>
          <w:trHeight w:val="229"/>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Hsinchu, Taiwan</w:t>
            </w:r>
          </w:p>
        </w:tc>
        <w:tc>
          <w:tcPr>
            <w:tcW w:w="1340" w:type="dxa"/>
            <w:vAlign w:val="bottom"/>
          </w:tcPr>
          <w:p>
            <w:pPr>
              <w:jc w:val="right"/>
              <w:spacing w:after="0"/>
              <w:rPr>
                <w:sz w:val="20"/>
                <w:szCs w:val="20"/>
                <w:color w:val="auto"/>
              </w:rPr>
            </w:pPr>
            <w:r>
              <w:rPr>
                <w:rFonts w:ascii="Arial" w:cs="Arial" w:eastAsia="Arial" w:hAnsi="Arial"/>
                <w:sz w:val="18"/>
                <w:szCs w:val="18"/>
                <w:color w:val="auto"/>
              </w:rPr>
              <w:t>82,300</w:t>
            </w:r>
          </w:p>
        </w:tc>
        <w:tc>
          <w:tcPr>
            <w:tcW w:w="2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Research and Development; Business Development; Operations; Administration</w:t>
            </w:r>
          </w:p>
        </w:tc>
      </w:tr>
      <w:tr>
        <w:trPr>
          <w:trHeight w:val="230"/>
        </w:trPr>
        <w:tc>
          <w:tcPr>
            <w:tcW w:w="2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Shanghai, China</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20,600</w:t>
            </w: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Business Development</w:t>
            </w:r>
          </w:p>
        </w:tc>
      </w:tr>
      <w:tr>
        <w:trPr>
          <w:trHeight w:val="230"/>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Shenzhen, China</w:t>
            </w:r>
          </w:p>
        </w:tc>
        <w:tc>
          <w:tcPr>
            <w:tcW w:w="1340" w:type="dxa"/>
            <w:vAlign w:val="bottom"/>
          </w:tcPr>
          <w:p>
            <w:pPr>
              <w:jc w:val="right"/>
              <w:spacing w:after="0"/>
              <w:rPr>
                <w:sz w:val="20"/>
                <w:szCs w:val="20"/>
                <w:color w:val="auto"/>
              </w:rPr>
            </w:pPr>
            <w:r>
              <w:rPr>
                <w:rFonts w:ascii="Arial" w:cs="Arial" w:eastAsia="Arial" w:hAnsi="Arial"/>
                <w:sz w:val="18"/>
                <w:szCs w:val="18"/>
                <w:color w:val="auto"/>
              </w:rPr>
              <w:t>19,200</w:t>
            </w:r>
          </w:p>
        </w:tc>
        <w:tc>
          <w:tcPr>
            <w:tcW w:w="2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Research and Development; Business Development</w:t>
            </w:r>
          </w:p>
        </w:tc>
      </w:tr>
      <w:tr>
        <w:trPr>
          <w:trHeight w:val="230"/>
        </w:trPr>
        <w:tc>
          <w:tcPr>
            <w:tcW w:w="2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Kowloon, Hong Kong</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Sales; Warehousing</w:t>
            </w:r>
          </w:p>
        </w:tc>
      </w:tr>
      <w:tr>
        <w:trPr>
          <w:trHeight w:val="229"/>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Shin-Yokohama, Japan</w:t>
            </w: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Business Development</w:t>
            </w:r>
          </w:p>
        </w:tc>
      </w:tr>
      <w:tr>
        <w:trPr>
          <w:trHeight w:val="230"/>
        </w:trPr>
        <w:tc>
          <w:tcPr>
            <w:tcW w:w="2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SeongNam, South Korea</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Business Development</w:t>
            </w:r>
          </w:p>
        </w:tc>
      </w:tr>
      <w:tr>
        <w:trPr>
          <w:trHeight w:val="243"/>
        </w:trPr>
        <w:tc>
          <w:tcPr>
            <w:tcW w:w="2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tcPr>
          <w:p>
            <w:pPr>
              <w:spacing w:after="0"/>
              <w:rPr>
                <w:sz w:val="21"/>
                <w:szCs w:val="21"/>
                <w:color w:val="auto"/>
              </w:rPr>
            </w:pP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Europe:</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100" w:type="dxa"/>
            <w:vAlign w:val="bottom"/>
            <w:shd w:val="clear" w:color="auto" w:fill="CFF0FC"/>
          </w:tcPr>
          <w:p>
            <w:pPr>
              <w:spacing w:after="0"/>
              <w:rPr>
                <w:sz w:val="19"/>
                <w:szCs w:val="19"/>
                <w:color w:val="auto"/>
              </w:rPr>
            </w:pPr>
          </w:p>
        </w:tc>
      </w:tr>
      <w:tr>
        <w:trPr>
          <w:trHeight w:val="230"/>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Parma, Italy</w:t>
            </w:r>
          </w:p>
        </w:tc>
        <w:tc>
          <w:tcPr>
            <w:tcW w:w="1340" w:type="dxa"/>
            <w:vAlign w:val="bottom"/>
          </w:tcPr>
          <w:p>
            <w:pPr>
              <w:jc w:val="right"/>
              <w:spacing w:after="0"/>
              <w:rPr>
                <w:sz w:val="20"/>
                <w:szCs w:val="20"/>
                <w:color w:val="auto"/>
              </w:rPr>
            </w:pPr>
            <w:r>
              <w:rPr>
                <w:rFonts w:ascii="Arial" w:cs="Arial" w:eastAsia="Arial" w:hAnsi="Arial"/>
                <w:sz w:val="18"/>
                <w:szCs w:val="18"/>
                <w:color w:val="auto"/>
              </w:rPr>
              <w:t>12,100</w:t>
            </w:r>
          </w:p>
        </w:tc>
        <w:tc>
          <w:tcPr>
            <w:tcW w:w="26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Research and Development</w:t>
            </w:r>
          </w:p>
        </w:tc>
      </w:tr>
    </w:tbl>
    <w:p>
      <w:pPr>
        <w:spacing w:after="0" w:line="38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Our ordinary shares have been traded on the NASDAQ Global Market under the symbol “AMBA” since October 10, 2012. On March 19, 2021, there were 28 shareholders of record holding our ordinary shares. We cannot estimate the number of beneficial owners since many brokers and other institutions hold our shares on behalf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p>
    <w:p>
      <w:pPr>
        <w:spacing w:after="0" w:line="7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following graph shows a comparison from February 1, 2016 through January 31, 2021 of the cumulative total return for our ordinary shares, the NASDAQ Composite Index and the Philadelphia Semiconductor Index. The comparisons in the graph are historical and are not intended to forecast or be indicative of possible future performance of our ordinary shares.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151765</wp:posOffset>
            </wp:positionV>
            <wp:extent cx="5314950"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49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never declared or paid any cash dividends on our ordinary shares and do not currently intend to do so in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For information about our equity compensation plans, see Note 11, “Employee Benefits and Stock-based Compensation” of the Notes to Consolidated Financial Statements included in this report.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On May 29, 2019, our Board of Directors authorized a program to repurchase up to $50.0 million of our ordinary shares through June 30, 2020. On March 16, 2020, the Company repurchased a total of 25,719 shares for approximately $1.0 million in cash. On May 29, 2020, the Board approved an extension of this program for an additional twelve months, ending June 30, 2021. Since the inception of the Company’s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our discretion. The repurchase program is funded using our working capital and any repurchased shares are recorded as authorized but unissued shares. As of January 31, 2021, $49.0 million was available for repurchases through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46" w:name="page47"/>
    <w:bookmarkEnd w:id="46"/>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following table sets forth selected financial data as of and for the last five fiscal years, and should be read in conjunction with Item 7, “Management’s Discussion and Analysis of Financial Condition and Results of Operations,” and Item 8, “Financial Statements and Supplementary Data,” and other financial data included elsewhere in this report. Our historical results of operations are not necessarily indicative of results of operations to be expected for any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Operations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left="435"/>
              <w:spacing w:after="0"/>
              <w:rPr>
                <w:sz w:val="20"/>
                <w:szCs w:val="20"/>
                <w:color w:val="auto"/>
              </w:rPr>
            </w:pPr>
            <w:r>
              <w:rPr>
                <w:rFonts w:ascii="Arial" w:cs="Arial" w:eastAsia="Arial" w:hAnsi="Arial"/>
                <w:sz w:val="14"/>
                <w:szCs w:val="14"/>
                <w:b w:val="1"/>
                <w:bCs w:val="1"/>
                <w:color w:val="auto"/>
                <w:w w:val="93"/>
              </w:rPr>
              <w:t>Year Ended January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gridSpan w:val="9"/>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222,990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295,402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(61,166)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(49,649)</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(40,420)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24,431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(44,792)</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(30,447)</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w w:val="99"/>
              </w:rPr>
              <w:t>Net income (loss) per share attributable to ordinary shareholders: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January 31,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440,708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404,748</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434,591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423,337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370,566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440,047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573,280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546,649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98,304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474,976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482,187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Upon adoption of Accounting Standards Update No. 2015-05, Intangible - Goodwill and Other - Internal-Use Software (Subtopic 350-40), we account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As of January 31, 2021, there were $18.7 million of intangible assets, net of amortization expense, $5.6 million of current liabilities and $6.3 million of noncurrent liabilities related to these noncancelable internal-use software licenses recorded in the consolidated balance sheets.</w:t>
      </w:r>
    </w:p>
    <w:p>
      <w:pPr>
        <w:spacing w:after="0" w:line="19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Effective February 1, 2018, we adopted Accounting Standards Codification (“ASC”) Topic 606, Revenue from Contracts with Customers (“ASC 606”) using a modified retrospective method with the cumulative effect recognized in the beginning retained earnings. The consolidated financial statements for the fiscal years ended January 31, 2021, 2020, and 2019 are reported under Topic 606, whereas the consolidated financial statements for the fiscal year 2018 and prior years are reported under Topic 605.</w:t>
      </w:r>
    </w:p>
    <w:p>
      <w:pPr>
        <w:spacing w:after="0" w:line="7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In the fourth quarter of fiscal year 2019, we released $8.0 million of valuation allowance related to prior year federal research and development credit carryforwards, which resulted in a significant increase in deferred tax assets as of January 31, 2019.</w:t>
      </w:r>
    </w:p>
    <w:p>
      <w:pPr>
        <w:spacing w:after="0" w:line="6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Effective February 1, 2019, we adopted ASC Topic 842, Leases (“ASC 842”), using the alternative transition method with an adjustment to the opening balance in the period of adoption without adjustment of comparative period financial statements. Under this new guidance, we recognize leases as right-of-use (“ROU”) assets and corresponding lease liabilities at the lease commencement date based on the present value of future lease payments, while recognizing lease expenses under straight-line method through the lease term. The renewal options are included in the ROU and liability calculation if it is reasonably certain that we will exercise the option. The consolidated financial statements for the fiscal year ended January 31, 2021 and 2020 are reported under Topic 842, whereas the consolidated financial statements for the fiscal year 2019 and prior years are reported under Topic 840. As of January 31, 2021, there were approximately $9.7 million of ROU assets, net of amortization expense, $2.9 million of short-term lease liabilities, and $7.5 million of long-term lease liabilities related to the leases recorded in the consolidated balance sheets.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In the last several years, our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recently developed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computer vision-based technologies are allowing us to address a broader range of markets and applications requiring AI video features, including IP security cameras, automotive cameras, consumer cameras, and industrial and robotic markets and applications. We anticipate that our CV technology will also enable us to capture more content per electronic system.</w:t>
      </w:r>
    </w:p>
    <w:p>
      <w:pPr>
        <w:spacing w:after="0" w:line="74"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6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b w:val="1"/>
          <w:bCs w:val="1"/>
          <w:i w:val="1"/>
          <w:iCs w:val="1"/>
          <w:color w:val="auto"/>
        </w:rPr>
        <w:t>Fiscal Year 2021 Financial Highlights and Trends</w:t>
      </w:r>
    </w:p>
    <w:p>
      <w:pPr>
        <w:spacing w:after="0" w:line="117" w:lineRule="exact"/>
        <w:rPr>
          <w:sz w:val="20"/>
          <w:szCs w:val="20"/>
          <w:color w:val="auto"/>
        </w:rPr>
      </w:pPr>
    </w:p>
    <w:p>
      <w:pPr>
        <w:ind w:left="1000" w:right="40" w:hanging="493"/>
        <w:spacing w:after="0" w:line="270" w:lineRule="auto"/>
        <w:tabs>
          <w:tab w:leader="none" w:pos="10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We recorded revenue of $223.0 million in fiscal year 2021, a decrease of 2.5% as compared to fiscal year 2020. The decrease in revenue was primarily attributable to lower revenue from the professional IP security camera and automotive markets. In the professional IP security camera market, despite continued growth in the North America and Asia regions in fiscal year 2021, lower demand from our two largest China customers together with less demand from the Europe region, resulted in a significant revenue decrease in this market. The decreased revenue in the automotive markets was primarily due to an overall slowdown in the automotive industry. The decreased revenue was partially offset by increased revenue in the home IP security camera and consumer device markets, including drone and wearable camera markets. In the home IP security camera market, revenue growth continued to be led by the North America region. Incorporation of our solutions into newly launched products from Shenzhen Dajiang Baiwang Technology Co., Ltd., or DJI, resulted in a ramp of SoC shipments in the third quarter of fiscal year 2021.</w:t>
      </w:r>
    </w:p>
    <w:p>
      <w:pPr>
        <w:spacing w:after="0" w:line="72" w:lineRule="exact"/>
        <w:rPr>
          <w:rFonts w:ascii="Arial" w:cs="Arial" w:eastAsia="Arial" w:hAnsi="Arial"/>
          <w:sz w:val="17"/>
          <w:szCs w:val="17"/>
          <w:color w:val="auto"/>
        </w:rPr>
      </w:pPr>
    </w:p>
    <w:p>
      <w:pPr>
        <w:ind w:left="1000" w:right="20" w:hanging="493"/>
        <w:spacing w:after="0" w:line="272" w:lineRule="auto"/>
        <w:tabs>
          <w:tab w:leader="none" w:pos="10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We recorded an operating loss of $61.2 million in fiscal year 2021, as compared to an operating loss of $49.6 million in fiscal year 2020. The increased operating loss was primarily due to increased operating expenses that more than offset an increase in gross profit. The increased operating expenses, mainly in support of new applications for the automotive markets as well as the development of computer vision-based solutions, related primarily to increased engineering headcount, chip tape-out and stock-based compensation expenses. The headcount-related expense increases were partially due to the termination of research and development grants from a foreign government at the end of fiscal year 2020. In addition, due to the timing, complexity and number of chips in development in fiscal year 2021, chip tape-out fees and related engineering costs increased from the prior year.</w:t>
      </w:r>
    </w:p>
    <w:p>
      <w:pPr>
        <w:spacing w:after="0" w:line="69" w:lineRule="exact"/>
        <w:rPr>
          <w:rFonts w:ascii="Arial" w:cs="Arial" w:eastAsia="Arial" w:hAnsi="Arial"/>
          <w:sz w:val="17"/>
          <w:szCs w:val="17"/>
          <w:color w:val="auto"/>
        </w:rPr>
      </w:pPr>
    </w:p>
    <w:p>
      <w:pPr>
        <w:ind w:left="1000" w:right="100" w:hanging="493"/>
        <w:spacing w:after="0" w:line="286" w:lineRule="auto"/>
        <w:tabs>
          <w:tab w:leader="none" w:pos="10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We generated cash flows from operating activities of $30.8 million in fiscal year 2021, as compared to $39.4 million in fiscal year 2020. The decreased cash flows from operating activities were primarily due to a higher net loss and increases in accounts receivable and inventory balances partially offset by increases in accounts payable and accrued liabilities due to our suppliers.</w:t>
      </w:r>
    </w:p>
    <w:p>
      <w:pPr>
        <w:spacing w:after="0" w:line="57" w:lineRule="exact"/>
        <w:rPr>
          <w:rFonts w:ascii="Arial" w:cs="Arial" w:eastAsia="Arial" w:hAnsi="Arial"/>
          <w:sz w:val="17"/>
          <w:szCs w:val="17"/>
          <w:color w:val="auto"/>
        </w:rPr>
      </w:pPr>
    </w:p>
    <w:p>
      <w:pPr>
        <w:jc w:val="both"/>
        <w:ind w:left="1020" w:right="240" w:hanging="553"/>
        <w:spacing w:after="0" w:line="28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March 16, 2020, we repurchased a total of 25,719 of our ordinary shares for approximately $1.0 million in cash. On May 29, 2020, our Board of Directors approved an extension of the repurchase program for an additional twelve months ending June 30, 2021. As of January 31, 2021, there was approximately $49.0 million available for repurchases through June 30,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i w:val="1"/>
          <w:iCs w:val="1"/>
          <w:color w:val="auto"/>
        </w:rPr>
        <w:t xml:space="preserve">Spread of COVID-19 Could Adversely Affect our Business in a Material Way. </w:t>
      </w:r>
      <w:r>
        <w:rPr>
          <w:rFonts w:ascii="Arial" w:cs="Arial" w:eastAsia="Arial" w:hAnsi="Arial"/>
          <w:sz w:val="16"/>
          <w:szCs w:val="16"/>
          <w:color w:val="auto"/>
        </w:rPr>
        <w:t>The COVID-19 pandemic has resulted in significant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we are experiencing longer manufacturing times that, if they persist or worsen, could impact our ability to meet our customers’ demand for our solutions and negatively impact our revenue. Moreover, if there is a significant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demand for our solutions.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17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i w:val="1"/>
          <w:iCs w:val="1"/>
          <w:color w:val="auto"/>
        </w:rPr>
        <w:t>Ability to Capitalize on AI and Computer Vision Trends</w:t>
      </w:r>
      <w:r>
        <w:rPr>
          <w:rFonts w:ascii="Arial" w:cs="Arial" w:eastAsia="Arial" w:hAnsi="Arial"/>
          <w:sz w:val="17"/>
          <w:szCs w:val="17"/>
          <w:color w:val="auto"/>
        </w:rPr>
        <w:t>. We expect that AI and computer vision functionality will become an increasingly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right="40" w:firstLine="510"/>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we developed technologies to provide solutions for new markets as they emerged, such as the sports camera, IP security,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drone cameras allow consumers to quickly stream or upload video and images to social media platforms.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40" w:firstLine="510"/>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72"/>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222,990</w:t>
            </w: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227,768</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87,417</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89,624</w:t>
            </w:r>
          </w:p>
        </w:tc>
        <w:tc>
          <w:tcPr>
            <w:tcW w:w="8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135,573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138,144</w:t>
            </w:r>
          </w:p>
        </w:tc>
        <w:tc>
          <w:tcPr>
            <w:tcW w:w="8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140,759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128,084</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55,980</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50,480</w:t>
            </w:r>
          </w:p>
        </w:tc>
        <w:tc>
          <w:tcPr>
            <w:tcW w:w="8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196,739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178,564</w:t>
            </w:r>
          </w:p>
        </w:tc>
        <w:tc>
          <w:tcPr>
            <w:tcW w:w="80" w:type="dxa"/>
            <w:vAlign w:val="bottom"/>
            <w:shd w:val="clear" w:color="auto" w:fill="CFF0FC"/>
          </w:tcPr>
          <w:p>
            <w:pPr>
              <w:spacing w:after="0"/>
              <w:rPr>
                <w:sz w:val="19"/>
                <w:szCs w:val="19"/>
                <w:color w:val="auto"/>
              </w:rPr>
            </w:pP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(40,420)</w:t>
            </w:r>
          </w:p>
        </w:tc>
        <w:tc>
          <w:tcPr>
            <w:tcW w:w="8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80" w:type="dxa"/>
            <w:vAlign w:val="bottom"/>
            <w:shd w:val="clear" w:color="auto" w:fill="CFF0FC"/>
          </w:tcPr>
          <w:p>
            <w:pPr>
              <w:spacing w:after="0"/>
              <w:rPr>
                <w:sz w:val="19"/>
                <w:szCs w:val="19"/>
                <w:color w:val="auto"/>
              </w:rPr>
            </w:pP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(57,303)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(34,552)</w:t>
            </w:r>
          </w:p>
        </w:tc>
        <w:tc>
          <w:tcPr>
            <w:tcW w:w="8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(4,105)</w:t>
            </w:r>
          </w:p>
        </w:tc>
      </w:tr>
      <w:tr>
        <w:trPr>
          <w:trHeight w:val="223"/>
        </w:trPr>
        <w:tc>
          <w:tcPr>
            <w:tcW w:w="402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(30,447)</w:t>
            </w:r>
          </w:p>
        </w:tc>
        <w:tc>
          <w:tcPr>
            <w:tcW w:w="8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historical operating results as a percentage of revenue of each line item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Year Ended January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1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15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5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560" w:type="dxa"/>
            <w:vAlign w:val="bottom"/>
            <w:vMerge w:val="restart"/>
          </w:tcPr>
          <w:p>
            <w:pPr>
              <w:jc w:val="right"/>
              <w:ind w:right="470"/>
              <w:spacing w:after="0"/>
              <w:rPr>
                <w:sz w:val="20"/>
                <w:szCs w:val="20"/>
                <w:color w:val="auto"/>
              </w:rPr>
            </w:pPr>
            <w:r>
              <w:rPr>
                <w:rFonts w:ascii="Arial" w:cs="Arial" w:eastAsia="Arial" w:hAnsi="Arial"/>
                <w:sz w:val="18"/>
                <w:szCs w:val="18"/>
                <w:color w:val="auto"/>
              </w:rPr>
              <w:t>51</w:t>
            </w: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derive substantially all of our revenue from the sale of HD and Ultra HD video and image processing SoC solutions to IP security camera OEMs, IP security camera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one of our distributors, WT Microelectronics Co., Ltd., formerly Wintech Microelectronics Co., Ltd., or Wintech, and directly to one of our ODM customers, Chicony Electronics Co., Ltd., or Chicony.</w:t>
      </w:r>
    </w:p>
    <w:p>
      <w:pPr>
        <w:spacing w:after="0" w:line="1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19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25"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14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5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Fiscal Years Ended January 31, 2021,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w w:val="88"/>
              </w:rPr>
              <w:t>(dollars in thousands)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$ 222,990</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$ 228,732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227,768</w:t>
            </w:r>
          </w:p>
        </w:tc>
        <w:tc>
          <w:tcPr>
            <w:tcW w:w="142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   (5,742)</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964</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Revenue decreased for fiscal year 2021, as compared to fiscal year 2020, primarily due to lower revenue from the professional IP security camera and automotive markets. In the professional IP security camera market, despite continued growth in the North America and Asia regions in fiscal year 2021, lower demand from our two largest China customers caused by higher inventory build-up in fiscal year 2020 and escalated trade tensions between the United States and China, together with less demand from the Europe region, resulted in a significant revenue decrease in this market. The decreased revenue in the automotive markets was primarily due to an overall slowdown in the automotive industry. The decreased revenue was partially offset by increased revenue in the consumer IP security camera and consumer markets, including drone and wearable camera markets. In the consumer IP security camera market, revenue growth continued to be led by the home security and monitoring market in the North America region. In the consumer markets, incorporation of our solutions into newly launched products from DJI resulted in a ramp of SoC shipments in the third quarter of fiscal year 2021, partially offset by decreased revenue in the sports camera market.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ind w:right="100" w:firstLine="510"/>
        <w:spacing w:after="0" w:line="269" w:lineRule="auto"/>
        <w:rPr>
          <w:sz w:val="20"/>
          <w:szCs w:val="20"/>
          <w:color w:val="auto"/>
        </w:rPr>
      </w:pPr>
      <w:r>
        <w:rPr>
          <w:rFonts w:ascii="Arial" w:cs="Arial" w:eastAsia="Arial" w:hAnsi="Arial"/>
          <w:sz w:val="17"/>
          <w:szCs w:val="17"/>
          <w:color w:val="auto"/>
        </w:rPr>
        <w:t>Revenue increased for fiscal year 2020, as compared to fiscal year 2019, primarily attributable to higher revenue from consumer IP security camera and sports camera markets. In the consumer IP security camera market, growth was led by the home security and monitoring market in the North America region, together with shipment penetration into Asia and Europe regions. In the sports camera market, incorporation of our solutions into newly launched action camera products resulted in higher demand from DJI in fiscal year 2020. The increased revenue was partially offset by decreased revenue in the automotive, professional IP security camera and other consumer markets, including non-sports wearable camera, virtual reality and drone markets. Lower revenue from automotive markets, including the automotive aftermarket and OEM video recorder market, was caused by a significant slowdown in the automotive industry in the first half of fiscal year 2020 and promotional activity in fiscal year 2019 from a large automotive customer that did not recur in the current fiscal year. In the professional IP security camera market, despite significant growth in the Asia region and increased adoption of our computer vision-based solutions, lower demand from one of our largest China customers and customers in other regions resulted in a net revenue decrease in fiscal year 2020.</w:t>
      </w: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Borders>
              <w:bottom w:val="single" w:sz="8" w:color="auto"/>
            </w:tcBorders>
            <w:gridSpan w:val="3"/>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3"/>
          </w:tcPr>
          <w:p>
            <w:pPr>
              <w:jc w:val="right"/>
              <w:ind w:right="77"/>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  87,417</w:t>
            </w:r>
          </w:p>
        </w:tc>
        <w:tc>
          <w:tcPr>
            <w:tcW w:w="106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  96,023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89,624</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w w:val="99"/>
              </w:rPr>
              <w:t>$   (8,606)</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 $</w:t>
            </w:r>
          </w:p>
        </w:tc>
        <w:tc>
          <w:tcPr>
            <w:tcW w:w="106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6,399</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Gross profit</w:t>
            </w:r>
          </w:p>
        </w:tc>
        <w:tc>
          <w:tcPr>
            <w:tcW w:w="2400" w:type="dxa"/>
            <w:vAlign w:val="bottom"/>
            <w:gridSpan w:val="2"/>
          </w:tcPr>
          <w:p>
            <w:pPr>
              <w:jc w:val="right"/>
              <w:ind w:right="148"/>
              <w:spacing w:after="0"/>
              <w:rPr>
                <w:sz w:val="20"/>
                <w:szCs w:val="20"/>
                <w:color w:val="auto"/>
              </w:rPr>
            </w:pPr>
            <w:r>
              <w:rPr>
                <w:rFonts w:ascii="Arial" w:cs="Arial" w:eastAsia="Arial" w:hAnsi="Arial"/>
                <w:sz w:val="18"/>
                <w:szCs w:val="18"/>
                <w:color w:val="auto"/>
              </w:rPr>
              <w:t>135,573</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132,709</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138,144</w:t>
            </w:r>
          </w:p>
        </w:tc>
        <w:tc>
          <w:tcPr>
            <w:tcW w:w="280" w:type="dxa"/>
            <w:vAlign w:val="bottom"/>
          </w:tcPr>
          <w:p>
            <w:pPr>
              <w:spacing w:after="0"/>
              <w:rPr>
                <w:sz w:val="19"/>
                <w:szCs w:val="19"/>
                <w:color w:val="auto"/>
              </w:rPr>
            </w:pPr>
          </w:p>
        </w:tc>
        <w:tc>
          <w:tcPr>
            <w:tcW w:w="1160" w:type="dxa"/>
            <w:vAlign w:val="bottom"/>
          </w:tcPr>
          <w:p>
            <w:pPr>
              <w:jc w:val="right"/>
              <w:ind w:right="317"/>
              <w:spacing w:after="0"/>
              <w:rPr>
                <w:sz w:val="20"/>
                <w:szCs w:val="20"/>
                <w:color w:val="auto"/>
              </w:rPr>
            </w:pPr>
            <w:r>
              <w:rPr>
                <w:rFonts w:ascii="Arial" w:cs="Arial" w:eastAsia="Arial" w:hAnsi="Arial"/>
                <w:sz w:val="18"/>
                <w:szCs w:val="18"/>
                <w:color w:val="auto"/>
              </w:rPr>
              <w:t>2,864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(5,435)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60.7%</w:t>
            </w:r>
          </w:p>
        </w:tc>
        <w:tc>
          <w:tcPr>
            <w:tcW w:w="116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20" w:firstLine="510"/>
        <w:spacing w:after="0" w:line="342" w:lineRule="auto"/>
        <w:rPr>
          <w:sz w:val="20"/>
          <w:szCs w:val="20"/>
          <w:color w:val="auto"/>
        </w:rPr>
      </w:pPr>
      <w:r>
        <w:rPr>
          <w:rFonts w:ascii="Arial" w:cs="Arial" w:eastAsia="Arial" w:hAnsi="Arial"/>
          <w:sz w:val="16"/>
          <w:szCs w:val="16"/>
          <w:color w:val="auto"/>
        </w:rPr>
        <w:t>Cost of revenue decreased for fiscal year 2021, as compared to fiscal year 2020, primarily due to lower volumes of SoC shipments in the professional IP security camera and automotive markets offset by higher volumes in the consumer IP security camera, drone and wearable markets.</w:t>
      </w:r>
    </w:p>
    <w:p>
      <w:pPr>
        <w:spacing w:after="0" w:line="12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Cost of revenue increased for fiscal year 2020, as compared to fiscal year 2019, primarily due to higher volumes of SoC shipments in the IP security camera, sports camera and drone markets.</w:t>
      </w:r>
    </w:p>
    <w:p>
      <w:pPr>
        <w:spacing w:after="0" w:line="170"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Gross margin increased in fiscal year 2021, as compared to fiscal year 2020, primarily due to a lower percentage of our total revenue coming from the professional IP security camera market at lower average selling prices.</w:t>
      </w:r>
    </w:p>
    <w:p>
      <w:pPr>
        <w:spacing w:after="0" w:line="170"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Gross margin decreased in fiscal year 2020, as compared to fiscal year 2019, primarily due to a higher percentage of our total revenue coming from the professional IP security camera market at lower average selling prices than we obtained in the prior fiscal year.</w:t>
      </w: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48"/>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right"/>
              <w:ind w:right="28"/>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$ 140,759</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$ 129,724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128,084</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  11,035</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1,640</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Research and development expense increased for fiscal year 2021, compared to fiscal year 2020, primarily due to a $6.2 million increase in SOC development costs as our projects move to the 5nm process node and approximately $4.3 million of research and development grants from a foreign government that ended in fiscal year 2020. Our engineering headcount also increased to 582 at January 31, 2021 compared to 563 at January 31, 2020, which resulted in an increase in salary-related expenses of approximately $2.8 million in fiscal year 2021. The increased research and development expense was also attributable to additional stock-based compensation expense of approximately $1.2 million in fiscal year 2021, as a result of the issuance of stock to newly hired employees, our annual evergreen stock program for existing employees, and our annual bonus program. The increases were partially offset by approximately $3.4 million lower travel, facility and professional service related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40" w:firstLine="510"/>
        <w:spacing w:after="0" w:line="270" w:lineRule="auto"/>
        <w:rPr>
          <w:sz w:val="20"/>
          <w:szCs w:val="20"/>
          <w:color w:val="auto"/>
        </w:rPr>
      </w:pPr>
      <w:r>
        <w:rPr>
          <w:rFonts w:ascii="Arial" w:cs="Arial" w:eastAsia="Arial" w:hAnsi="Arial"/>
          <w:sz w:val="17"/>
          <w:szCs w:val="17"/>
          <w:color w:val="auto"/>
        </w:rPr>
        <w:t>Research and development expense increased for fiscal year 2020, as compared to fiscal year 2019, primarily due to increases in engineering headcount associated with computer vision technology development for our current markets, as well as new markets such as the automotive OEM and robotics markets. Our engineering headcount increased to 563 at January 31, 2020 compared to 554 at January 31, 2019, which resulted in an increase in salary-related expenses of approximately $3.1 million in fiscal year 2020. The increased research and development expense was also attributable to additional stock-based compensation expense of approximately $4.4 million in fiscal year 2020, as a result of the issuance of stock to newly hired employees, our annual evergreen stock program for existing employees, the performance stock program for executives and our annual employee bonus program. The increases were partially offset by approximately $4.3 million of research and development grants from a foreign government in fiscal year 2020. SoC development costs also decreased by approximately $1.4 million for the twelve months ended January 31, 2020, as compared to the same period in the prior fiscal year, due to project timing and the number of chips in development.</w:t>
      </w: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4"/>
          </w:tcPr>
          <w:p>
            <w:pPr>
              <w:jc w:val="right"/>
              <w:ind w:right="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55,980</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  52,634</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3,346</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6.4%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2,154</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Selling, general and administrative expense increased for fiscal year 2021, as compared to fiscal year 2020, primarily due to additional stock-based compensation expense of approximately $2.1 million as a result of the issuance of stock to newly hired employees, our annual evergreen stock program for existing employees, and our annual bonus program. The increase was also attributable to increased headcount to support our business development in IP security, automotive OEM and robotics markets, which resulted in an increase in salary-related expenses of approximately $1.1 million in fiscal year 2021. Increases of approximately $2.0 million for facility and professional service expenses were largely offset by $1.9 million lower spending for travel and trade show related expenses.</w:t>
      </w:r>
    </w:p>
    <w:p>
      <w:pPr>
        <w:spacing w:after="0" w:line="19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Selling, general and administrative expense increased for fiscal year 2020, as compared to fiscal year 2019, primarily due to increased headcount to support our business development in IP security, automotive OEM and robotics markets, which resulted in an increase in salary-related expenses of approximately $1.1 million in fiscal year 2020. The increase was also attributable to additional stock-based compensation expense of approximately $1.8 million as a result of the issuance of stock to newly hired employees, our annual evergreen stock program for existing employees, the performance stock program for executives and our annual employee bonus program. The increase was partially offset by approximately $0.6 million less expenditures on professional services.</w:t>
      </w: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vMerge w:val="restart"/>
          </w:tcPr>
          <w:p>
            <w:pPr>
              <w:jc w:val="center"/>
              <w:ind w:left="342"/>
              <w:spacing w:after="0"/>
              <w:rPr>
                <w:sz w:val="20"/>
                <w:szCs w:val="20"/>
                <w:color w:val="auto"/>
              </w:rPr>
            </w:pPr>
            <w:r>
              <w:rPr>
                <w:rFonts w:ascii="Arial" w:cs="Arial" w:eastAsia="Arial" w:hAnsi="Arial"/>
                <w:sz w:val="14"/>
                <w:szCs w:val="14"/>
                <w:b w:val="1"/>
                <w:bCs w:val="1"/>
                <w:color w:val="auto"/>
                <w:w w:val="93"/>
              </w:rPr>
              <w:t>Year Ended January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w w:val="88"/>
              </w:rPr>
              <w:t>(dollars 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3,863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8,021</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142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   (4,158)</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(51.8)% $</w:t>
            </w:r>
          </w:p>
        </w:tc>
        <w:tc>
          <w:tcPr>
            <w:tcW w:w="1060" w:type="dxa"/>
            <w:vAlign w:val="bottom"/>
            <w:shd w:val="clear" w:color="auto" w:fill="CFF0FC"/>
          </w:tcPr>
          <w:p>
            <w:pPr>
              <w:jc w:val="right"/>
              <w:ind w:right="302"/>
              <w:spacing w:after="0"/>
              <w:rPr>
                <w:sz w:val="20"/>
                <w:szCs w:val="20"/>
                <w:color w:val="auto"/>
              </w:rPr>
            </w:pPr>
            <w:r>
              <w:rPr>
                <w:rFonts w:ascii="Arial" w:cs="Arial" w:eastAsia="Arial" w:hAnsi="Arial"/>
                <w:sz w:val="18"/>
                <w:szCs w:val="18"/>
                <w:color w:val="auto"/>
              </w:rPr>
              <w:t>2,153</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decrease in other income, net, for fiscal year 2021, as compared to fiscal year 2020, was primarily due to lower interest and other income from our deposits and debt security investments. The decrease is primarily the result of lower yields on reinvested balances as investments matured throughout the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right="40" w:firstLine="510"/>
        <w:spacing w:after="0" w:line="275" w:lineRule="auto"/>
        <w:rPr>
          <w:sz w:val="20"/>
          <w:szCs w:val="20"/>
          <w:color w:val="auto"/>
        </w:rPr>
      </w:pPr>
      <w:r>
        <w:rPr>
          <w:rFonts w:ascii="Arial" w:cs="Arial" w:eastAsia="Arial" w:hAnsi="Arial"/>
          <w:sz w:val="17"/>
          <w:szCs w:val="17"/>
          <w:color w:val="auto"/>
        </w:rPr>
        <w:t>The increase in other income, net, for fiscal year 2020, as compared to fiscal year 2019, was primarily due to an aggregate of approximately $3.4 million of additional interest and other income from our deposits and debt security investments. The increase is primarily the result of larger invested balances and debt securities purchased at discounts. The increase was partially offset by approximately $1.8 million related to a grant from a foreign government associated with research and development activities that was recognized as other income in fiscal year 2019. This ongoing grant is classified in research and development expense in fiscal year 2020 based on how the grant proceeds were utilized.</w:t>
      </w:r>
    </w:p>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w w:val="98"/>
              </w:rPr>
              <w:t>Amount</w:t>
            </w:r>
          </w:p>
        </w:tc>
        <w:tc>
          <w:tcPr>
            <w:tcW w:w="5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w w:val="94"/>
              </w:rPr>
              <w:t>Amount</w:t>
            </w:r>
          </w:p>
        </w:tc>
        <w:tc>
          <w:tcPr>
            <w:tcW w:w="86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4"/>
          </w:tcPr>
          <w:p>
            <w:pPr>
              <w:jc w:val="right"/>
              <w:ind w:right="19"/>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2,483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3,164</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(4,105)</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(681)</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(21.5)% $</w:t>
            </w:r>
          </w:p>
        </w:tc>
        <w:tc>
          <w:tcPr>
            <w:tcW w:w="108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7,269</w:t>
            </w:r>
          </w:p>
        </w:tc>
        <w:tc>
          <w:tcPr>
            <w:tcW w:w="8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3"/>
              </w:rPr>
              <w:t>(177.1)%</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Effective tax rate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Income tax expense decreased in fiscal 2021, as compared to fiscal year 2020, primarily due to a decrease in the proportion of profits generated in higher tax jurisdictions, as well as an increase in the U.S. federal research tax credit, partially offset by an increase in non-deductible stock-based compensation.</w:t>
      </w:r>
    </w:p>
    <w:p>
      <w:pPr>
        <w:spacing w:after="0" w:line="184"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Income tax expense increased in fiscal 2020, as compared to fiscal year 2019, primarily due to the 2019 release of $8.0 million of valuation allowance related to prior year federal research and development credit carryforwards in fiscal year 2019, as well as a decrease in the proportion of profits generated in lower tax jurisdictions, partially offset by an increase in tax benefits from excess stock based compensation deductions.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30,800</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39,414</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(31,324)</w:t>
            </w: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(79,142)</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(97,953)</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w w:val="91"/>
              </w:rPr>
              <w:t>Net increase (decrease) in cash, cash equivalents and restricted cash</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(152,623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i w:val="1"/>
          <w:iCs w:val="1"/>
          <w:color w:val="auto"/>
        </w:rPr>
        <w:t xml:space="preserve">Fiscal year 2021 compared to fiscal year 2020: </w:t>
      </w:r>
      <w:r>
        <w:rPr>
          <w:rFonts w:ascii="Arial" w:cs="Arial" w:eastAsia="Arial" w:hAnsi="Arial"/>
          <w:sz w:val="17"/>
          <w:szCs w:val="17"/>
          <w:color w:val="auto"/>
        </w:rPr>
        <w:t>Cash provided by operating activities decreased primarily due to decreased net income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lower revenue and increased operating expenses as well as lower interest income. The decreased cash flows from operating activities were partially offset by increased liabilities associated with SoC development projects and the timing of payments to suppliers.</w:t>
      </w:r>
    </w:p>
    <w:p>
      <w:pPr>
        <w:spacing w:after="0" w:line="5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i w:val="1"/>
          <w:iCs w:val="1"/>
          <w:color w:val="auto"/>
        </w:rPr>
        <w:t xml:space="preserve">Fiscal year 2020 compared to fiscal year 2019: </w:t>
      </w:r>
      <w:r>
        <w:rPr>
          <w:rFonts w:ascii="Arial" w:cs="Arial" w:eastAsia="Arial" w:hAnsi="Arial"/>
          <w:sz w:val="16"/>
          <w:szCs w:val="16"/>
          <w:color w:val="auto"/>
        </w:rPr>
        <w:t>Cash provided by operating activities increased primarily due to increased cash receipts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timing of payments from customers and increased liabilities associated with the timing of payments to suppliers. The increased cash flows from operating activities were partially offset by increased inventory purchases associated with higher volumes of SoC shipments in fiscal year 2020.</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left="5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i w:val="1"/>
          <w:iCs w:val="1"/>
          <w:color w:val="auto"/>
        </w:rPr>
        <w:t xml:space="preserve">Fiscal year 2021 compared to fiscal year 2020: </w:t>
      </w:r>
      <w:r>
        <w:rPr>
          <w:rFonts w:ascii="Arial" w:cs="Arial" w:eastAsia="Arial" w:hAnsi="Arial"/>
          <w:sz w:val="18"/>
          <w:szCs w:val="18"/>
          <w:color w:val="auto"/>
        </w:rPr>
        <w:t>Net cash used in investing activities increased primarily due to $25.9 million lower cash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sale and maturity of debt securities and additional payments of approximately $3.0 million in fiscal year 2021 for intangible assets purchase, which was partially offset by approximately $6.2 million lower investments in debt securities.</w:t>
      </w:r>
    </w:p>
    <w:p>
      <w:pPr>
        <w:spacing w:after="0" w:line="76"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i w:val="1"/>
          <w:iCs w:val="1"/>
          <w:color w:val="auto"/>
        </w:rPr>
        <w:t xml:space="preserve">Fiscal year 2020 compared to fiscal year 2019: </w:t>
      </w:r>
      <w:r>
        <w:rPr>
          <w:rFonts w:ascii="Arial" w:cs="Arial" w:eastAsia="Arial" w:hAnsi="Arial"/>
          <w:sz w:val="16"/>
          <w:szCs w:val="16"/>
          <w:color w:val="auto"/>
        </w:rPr>
        <w:t>Net cash used in investing activities decreased primarily due to an additional $87.5 million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receipts from the sale and maturity of debt securities, which was partially offset by approximately $18.1 million of additional investments in debt securities. The decrease was also attributable to approximately $1.1 million in reductions to capital expenditures on property and equipment purchases.</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i w:val="1"/>
          <w:iCs w:val="1"/>
          <w:color w:val="auto"/>
        </w:rPr>
        <w:t xml:space="preserve">Fiscal year 2021 compared to fiscal year 2020: </w:t>
      </w:r>
      <w:r>
        <w:rPr>
          <w:rFonts w:ascii="Arial" w:cs="Arial" w:eastAsia="Arial" w:hAnsi="Arial"/>
          <w:sz w:val="17"/>
          <w:szCs w:val="17"/>
          <w:color w:val="auto"/>
        </w:rPr>
        <w:t>Net cash provided by financing activities increased primarily due to approximately $4.5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cash proceeds from option exercises and employee stock purchase withholding and $0.4 million lower payments for intangible assets. The increase was partially offset by $1.0 million of cash used for repurchasing our ordinary shares under the stock repurchase program.</w:t>
      </w:r>
    </w:p>
    <w:p>
      <w:pPr>
        <w:spacing w:after="0" w:line="5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i w:val="1"/>
          <w:iCs w:val="1"/>
          <w:color w:val="auto"/>
        </w:rPr>
        <w:t xml:space="preserve">Fiscal year 2020 compared to fiscal year 2019: </w:t>
      </w:r>
      <w:r>
        <w:rPr>
          <w:rFonts w:ascii="Arial" w:cs="Arial" w:eastAsia="Arial" w:hAnsi="Arial"/>
          <w:sz w:val="16"/>
          <w:szCs w:val="16"/>
          <w:color w:val="auto"/>
        </w:rPr>
        <w:t>Net cash provided by financing activities increased primarily due to $99.9 million of cash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repurchasing our ordinary shares under the stock repurchase program in fiscal year 2019 while there were no repurchases in fiscal year 2020. The increase was also attributable to approximately $5.3 million of additional cash proceeds from option exercises and employee stock purchase withholding. The increase was partially offset by additional payments of approximately $0.7 million in fiscal year 2020 for intangible assets purchases.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March 16, 2020, we repurchased a total of 25,719 of our ordinary shares for approximately $1.0 million in cash. On May 29, 2020, our Board of Directors approved an extension of the repurchase program for an additional twelve months ending June 30, 2021. Since the inception of the repurchase programs in June 2016, a total of $275.0 million has been authorized, and we have repurchased a total of 4,011,595 shares for approximately $175.8 million in cash. As of January 31, 2021, there was approximately $49.0 million available for repurchases through June 30, 2021.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As of January 31, 2021 and 2020, we had cash, cash equivalents and marketable debt securities of approximately $440.7 million and $404.7 million, respectively. As of January 31, 2021, our marketable debt securities had a fair value of approximately $214.8 million with net unrealized gains of approximately $1.2 million caused by fluctuations in market value. We hold these investments as available-for-sale securities and mark them to market.</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As of January 31, 2021, we had cash, cash equivalents and marketable debt securities of approximately $440.7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20" w:right="380" w:hanging="500"/>
        <w:spacing w:after="0" w:line="277"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outstanding contractual obligations as of January 31,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12"/>
          </w:tcPr>
          <w:p>
            <w:pPr>
              <w:jc w:val="center"/>
              <w:ind w:right="427"/>
              <w:spacing w:after="0"/>
              <w:rPr>
                <w:sz w:val="20"/>
                <w:szCs w:val="20"/>
                <w:color w:val="auto"/>
              </w:rPr>
            </w:pPr>
            <w:r>
              <w:rPr>
                <w:rFonts w:ascii="Arial" w:cs="Arial" w:eastAsia="Arial" w:hAnsi="Arial"/>
                <w:sz w:val="14"/>
                <w:szCs w:val="14"/>
                <w:b w:val="1"/>
                <w:bCs w:val="1"/>
                <w:color w:val="auto"/>
                <w:w w:val="93"/>
              </w:rPr>
              <w:t>Payment Due by Period as of January 31, 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center"/>
              <w:ind w:right="31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More than</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3-5 Years</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5 Years</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 xml:space="preserve">Technology licenses </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 xml:space="preserve">Unrecognized tax benefits, including interest </w:t>
            </w:r>
            <w:r>
              <w:rPr>
                <w:rFonts w:ascii="Arial" w:cs="Arial" w:eastAsia="Arial" w:hAnsi="Arial"/>
                <w:sz w:val="15"/>
                <w:szCs w:val="15"/>
                <w:color w:val="auto"/>
              </w:rPr>
              <w:t>(3)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Technology license obligations represent future cash payments for noncancelable internal-use software licenses which are used in product design.</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 obligations with our independent contract manufacturers.</w:t>
      </w:r>
    </w:p>
    <w:p>
      <w:pPr>
        <w:spacing w:after="0" w:line="9" w:lineRule="exact"/>
        <w:rPr>
          <w:rFonts w:ascii="Arial" w:cs="Arial" w:eastAsia="Arial" w:hAnsi="Arial"/>
          <w:sz w:val="18"/>
          <w:szCs w:val="18"/>
          <w:color w:val="auto"/>
        </w:rPr>
      </w:pPr>
    </w:p>
    <w:p>
      <w:pPr>
        <w:ind w:left="500" w:right="20" w:hanging="492"/>
        <w:spacing w:after="0" w:line="290"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Unrecognized tax benefits, including interest, represent our liabilities for uncertain tax positions as of January 31, 2021. We are unable to reasonably estimate the timing of payments in individual years due to uncertainties in the timing of the effective settlement of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9429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121"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Grants of stock-based awards are key components of the compensation packages we provide to attract and retain certain employees to align their interests with the interests of existing shareholders. We recognize that these stock-based awards will dilute existing shareholders and have sought to limit the number of shares granted while providing competitive compensation packages. As of January 31, 2021, we had a total of 3.6 million ordinary shares subject to outstanding stock options and unvested restricted stock units, which will potentially dilute our earnings per share. This potential dilution will only result if outstanding options vest and are exercised and restricted stock units vest and are settled.</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January 31, 2021, we did not engage in any off-balance sheet arrangements, including the use of structured finance, special purpose entities or variable interest entities.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write down of excess and obsolete inventories;(ii) the estimated useful lives of long-lived assets;</w:t>
      </w:r>
    </w:p>
    <w:p>
      <w:pPr>
        <w:spacing w:after="0" w:line="1" w:lineRule="exact"/>
        <w:rPr>
          <w:sz w:val="20"/>
          <w:szCs w:val="20"/>
          <w:color w:val="auto"/>
        </w:rPr>
      </w:pPr>
    </w:p>
    <w:p>
      <w:pPr>
        <w:ind w:right="100" w:firstLine="8"/>
        <w:spacing w:after="0" w:line="270" w:lineRule="auto"/>
        <w:tabs>
          <w:tab w:leader="none" w:pos="3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valuation of stock-based compensation awards and financial instruments; (iv) the probability of performance objectives achievement; (v) the realization of tax assets and estimates of tax liabilities, including reserves for uncertain tax positions. These estimates and assumptions are based on historical experience and on various other factors which we believe to be reasonable under the circumstances. We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17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more significant areas involving management’s judgment and estimates: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Under ASC 606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w:t>
      </w:r>
    </w:p>
    <w:p>
      <w:pPr>
        <w:ind w:right="420" w:firstLine="8"/>
        <w:spacing w:after="0" w:line="260"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 of the transaction price; (iv) allocation of the transaction price to the performance obligations in the contract; and (v) recognition of revenue when or as a performance obligation is satisfied.</w:t>
      </w:r>
    </w:p>
    <w:p>
      <w:pPr>
        <w:spacing w:after="0" w:line="7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and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Under ASC 606,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our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spacing w:after="0" w:line="78"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We also enter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Customers usually pay based on milestones achieved. Because payments received do not correspond directly with the value of our performance to date, for fixed-price engineering services arrangements, revenue is recognized using the time-based straight line method, which best depicts our performance toward complete satisfaction of the performance obligation based on the nature of such professional services. Revenues from engineering service agreements were not material for the fiscal years ended January 31, 2021, 2020 and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firstLine="510"/>
        <w:spacing w:after="0" w:line="287" w:lineRule="auto"/>
        <w:rPr>
          <w:sz w:val="20"/>
          <w:szCs w:val="20"/>
          <w:color w:val="auto"/>
        </w:rPr>
      </w:pPr>
      <w:r>
        <w:rPr>
          <w:rFonts w:ascii="Arial" w:cs="Arial" w:eastAsia="Arial" w:hAnsi="Arial"/>
          <w:sz w:val="16"/>
          <w:szCs w:val="16"/>
          <w:color w:val="auto"/>
        </w:rPr>
        <w:t>Timing of revenue recognition may differ from the timing of invoicing to our customers. We record contract assets when revenue is recognized prior to invoicing. The contract assets are primarily related to satisfied but unbilled performance obligations associated with our engineering service agreements at the reporting date. As of January 31, 2021 and 2020, the contract assets for these unbilled receivables were not material. Contract liabilities consist of deferred revenue. Our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year ended January 31, 2021 and 2020, we did not recognize any material revenue adjustment related to performance obligations satisfied in prior periods released from this deferred revenue. As of January 31, 2021 and 2020, the respective deferred revenues were not material. Additionally, the transaction price allocated to unsatisfied, or partially unsatisfied, purchase orders for contracts that are greater than a year was not material as of January 31, 2021 and 2020, respectively. We also elect not to disclose the value of unsatisfied or partially unsatisfied performance obligations due to original expected contract duration of one year or less and elect to exclude amounts collected from customers for all sales taxes from the transaction price.</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7"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We consider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classify the marketable securities as “available-for-sale” securities and record them at fair value based on quoted market prices of similar assets. On February 1, 2020, the Company adopted ASU No. 2016-13 (ASU 2016-13), Financial Instruments-Credit Losses (Topic 326): Measurement of Credit Losses on Financial Instruments, using the modified retrospective transition method. Under this new guidance, the Company recognizes credit losses based on a forward-looking current expected credit losses (CECL) model instead of the previous incurred loss model for financial instruments.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expectations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(loss), net in the consolidated income statement but is limited to the difference between the fair value and the amortized cost basis of the security, adjusted for accrued interest. The non-credit-related portion of the loss is recognized in the accumulated other comprehensive income (loss) in the consolidated balance sheet. The cumulative effect adjustment upon the adoption on February 1, 2020 was immaterial and the credit-related losses from the Company’s financial instruments were not material as of January 31, 2021.</w:t>
      </w:r>
    </w:p>
    <w:p>
      <w:pPr>
        <w:spacing w:after="0" w:line="174"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We measure the fair value of money market funds using quoted prices in active markets for identical assets and classifies them within Level 1. The fair value of the Company’s investments in other debt securities are obtained based on quoted prices for similar asserts in active markets, or model driven valuations using significant inputs derived from or corroborated by observable market data and are classified within Level 2. So far, the Company has no debt securities with unobservable inputs and classified within Level 3.</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fiscal years ended January 31, 2021, 2020 and 2019, respectively.</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Software License</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We account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left="520"/>
        <w:spacing w:after="0"/>
        <w:rPr>
          <w:sz w:val="20"/>
          <w:szCs w:val="20"/>
          <w:color w:val="auto"/>
        </w:rPr>
      </w:pPr>
      <w:r>
        <w:rPr>
          <w:rFonts w:ascii="Arial" w:cs="Arial" w:eastAsia="Arial" w:hAnsi="Arial"/>
          <w:sz w:val="18"/>
          <w:szCs w:val="18"/>
          <w:b w:val="1"/>
          <w:bCs w:val="1"/>
          <w:i w:val="1"/>
          <w:iCs w:val="1"/>
          <w:color w:val="auto"/>
        </w:rPr>
        <w:t>Goodwill and In-Process Research and Development</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Goodwill and in-process research and development (“IPR&amp;D”) are required to be tested for impairment at least annually in the fourth fiscal quarter or sooner whenever events or changes in circumstances indicate that the assets may be impaired. We have a single reporting unit for goodwill impairment test purposes based on our business and reporting structure.</w:t>
      </w:r>
    </w:p>
    <w:p>
      <w:pPr>
        <w:spacing w:after="0" w:line="18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We do not amortize goodwill. Acquired IPR&amp;D is capitalized at fair value as an intangible asset and amortization commences upon completion of the underlying projects. When a project underlying reported IPR&amp;D is completed, the corresponding amount of IPR&amp;D is reclassified as an amortizable purchased intangible asset and is amortized over its estimated useful life.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Effective February 1, 2019, we adopted Accounting Standards Codification (“ASC”) Topic 842, Leases, using the alternative transition method with an adjustment to the opening balance in the period of adoption without adjustment of comparative period financial statements. Under this new guidance, we recognize leases as operating lease right-of-use (“ROU”) assets and corresponding lease liabilities at the lease commencement date based on the present value of future lease payments, while recognizing lease expenses under the straight-line method through the lease term. We also elected the other available practical expedients, and have elected not to recognize ROU assets and lease liabilities that arise from short-term (12 months or less) leases. We do not combine lease components with non-lease components, and as a result, the non-lease components are accounted for separately. In determining the present value of lease payments, we use the implicit interest rate if readily determinable. When the implicit rate is not readily determinable, we use our incremental borrowing rate based on the information available at the lease commencement date. Our leases mainly include our worldwide office facilities which are classified as operating leases. Certain leases include renewal options that are under our discretion. The renewal options are included in the ROU assets and liability calculation if it is reasonably certain that we will exercise the option. Our short-term leases and finance leases are immaterial as of January 31,</w:t>
      </w:r>
    </w:p>
    <w:p>
      <w:pPr>
        <w:spacing w:after="0" w:line="5"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2021 and February 1, 2020, respectively. As of January 31, 2021, there were approximately $9.7 million of ROU assets, net of amortization expense, $2.9 million of short-term lease liabilities, and $7.5 million of long-term lease liabilities related to the leases recorded in the consolidated balance sheets.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measure stock-based compensation for equity awards granted to employees and directors based on the estimated fair value on the grant date, and recognize that compensation as expense using the straight-line attribution method for service condition awards or using the graded-vesting attribution method for awards with performance conditions over the requisite service period, which is typically the vesting period of each award. We determine the fair value of restricted stock and restricted stock units with service or performance conditions based on the fair market value of our ordinary shares on the grant date. We use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We calculate expected volatility based on our own historical stock price for a period commensurate with the expected term, which is computed based on our own historical exercise behavior. The risk-free interest rate is derived from an average of the U.S. Treasury constant maturity rates for the respective periods most closely commensurate with the expected term. The expected dividend yield is zero because we have not historically paid dividends and have no present intention to pay dividends. We use the Lattice pricing model and perform Monte Carlo Simulation to evaluate the fair value of awards with market conditions, including assumptions of historical volatility and risk-free interest rate commensurate with the vesting term. we elect to account for forfeitures as they occur.</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ind w:firstLine="510"/>
        <w:spacing w:after="0" w:line="279" w:lineRule="auto"/>
        <w:rPr>
          <w:sz w:val="20"/>
          <w:szCs w:val="20"/>
          <w:color w:val="auto"/>
        </w:rPr>
      </w:pPr>
      <w:r>
        <w:rPr>
          <w:rFonts w:ascii="Arial" w:cs="Arial" w:eastAsia="Arial" w:hAnsi="Arial"/>
          <w:sz w:val="17"/>
          <w:szCs w:val="17"/>
          <w:color w:val="auto"/>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p>
    <w:p>
      <w:pPr>
        <w:spacing w:after="0" w:line="63"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53" w:lineRule="exact"/>
        <w:rPr>
          <w:sz w:val="20"/>
          <w:szCs w:val="20"/>
          <w:color w:val="auto"/>
        </w:rPr>
      </w:pPr>
    </w:p>
    <w:p>
      <w:pPr>
        <w:ind w:right="420" w:firstLine="510"/>
        <w:spacing w:after="0" w:line="308" w:lineRule="auto"/>
        <w:rPr>
          <w:sz w:val="20"/>
          <w:szCs w:val="20"/>
          <w:color w:val="auto"/>
        </w:rPr>
      </w:pPr>
      <w:r>
        <w:rPr>
          <w:rFonts w:ascii="Arial" w:cs="Arial" w:eastAsia="Arial" w:hAnsi="Arial"/>
          <w:sz w:val="17"/>
          <w:szCs w:val="17"/>
          <w:color w:val="auto"/>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p>
    <w:p>
      <w:pPr>
        <w:spacing w:after="0" w:line="38"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income statement for the periods in which the adjustment is determined to be required.</w:t>
      </w:r>
    </w:p>
    <w:p>
      <w:pPr>
        <w:spacing w:after="0" w:line="3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had cash, cash equivalents and marketable debt securities totaling $440.7 million and $404.7 million at January 31, 2021 and 2020, respectively. Our cash is deposited in checking accounts with reputable financial institutions. The cash equivalents and marketable debt securities consist primarily of investments in money market funds, certificates of deposit, asset-backed securities, commercial paper, U.S. government securities, and debt securities of corporations. Our cash is held for working capital purposes. We do not enter into investments for trading or speculative purposes.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 and Interest Rate Fluctuation Risks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primary objectives of our investment activities are to preserve capital,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in a 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the exchange rates between the Chinese Yuan Renminbi and the U.S. dollar and between the New Taiwan Dollar and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2" w:name="page63"/>
    <w:bookmarkEnd w:id="62"/>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financial statements required by this Item are set forth as a separate section of this Annual Report on Form 10-K. See Item 15 for a listing of financial statements provided in the section titled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(Unaudited)</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following table sets forth unaudited supplementary quarterly financial data for the two year period ended January 31, 2021. In management’s opinion, the unaudited data has been prepared on the same basis as the audited information and includes all adjustments necessary for a fair presentation of the data for the periods presented.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For the Three Months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3"/>
              </w:rPr>
              <w:t>Jan.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4"/>
              </w:rPr>
              <w:t>Oct.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6"/>
              </w:rPr>
              <w:t>Jul.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1"/>
              <w:spacing w:after="0" w:line="147" w:lineRule="exact"/>
              <w:rPr>
                <w:sz w:val="20"/>
                <w:szCs w:val="20"/>
                <w:color w:val="auto"/>
              </w:rPr>
            </w:pPr>
            <w:r>
              <w:rPr>
                <w:rFonts w:ascii="Arial" w:cs="Arial" w:eastAsia="Arial" w:hAnsi="Arial"/>
                <w:sz w:val="14"/>
                <w:szCs w:val="14"/>
                <w:b w:val="1"/>
                <w:bCs w:val="1"/>
                <w:color w:val="auto"/>
                <w:w w:val="93"/>
              </w:rPr>
              <w:t>Apr.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1"/>
              <w:spacing w:after="0" w:line="147" w:lineRule="exact"/>
              <w:rPr>
                <w:sz w:val="20"/>
                <w:szCs w:val="20"/>
                <w:color w:val="auto"/>
              </w:rPr>
            </w:pPr>
            <w:r>
              <w:rPr>
                <w:rFonts w:ascii="Arial" w:cs="Arial" w:eastAsia="Arial" w:hAnsi="Arial"/>
                <w:sz w:val="14"/>
                <w:szCs w:val="14"/>
                <w:b w:val="1"/>
                <w:bCs w:val="1"/>
                <w:color w:val="auto"/>
                <w:w w:val="89"/>
              </w:rPr>
              <w:t>Jan.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1"/>
              <w:spacing w:after="0" w:line="147" w:lineRule="exact"/>
              <w:rPr>
                <w:sz w:val="20"/>
                <w:szCs w:val="20"/>
                <w:color w:val="auto"/>
              </w:rPr>
            </w:pPr>
            <w:r>
              <w:rPr>
                <w:rFonts w:ascii="Arial" w:cs="Arial" w:eastAsia="Arial" w:hAnsi="Arial"/>
                <w:sz w:val="14"/>
                <w:szCs w:val="14"/>
                <w:b w:val="1"/>
                <w:bCs w:val="1"/>
                <w:color w:val="auto"/>
                <w:w w:val="90"/>
              </w:rPr>
              <w:t>Oct.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1"/>
              <w:spacing w:after="0" w:line="147" w:lineRule="exact"/>
              <w:rPr>
                <w:sz w:val="20"/>
                <w:szCs w:val="20"/>
                <w:color w:val="auto"/>
              </w:rPr>
            </w:pPr>
            <w:r>
              <w:rPr>
                <w:rFonts w:ascii="Arial" w:cs="Arial" w:eastAsia="Arial" w:hAnsi="Arial"/>
                <w:sz w:val="14"/>
                <w:szCs w:val="14"/>
                <w:b w:val="1"/>
                <w:bCs w:val="1"/>
                <w:color w:val="auto"/>
                <w:w w:val="96"/>
              </w:rPr>
              <w:t>Jul. 31,</w:t>
            </w:r>
          </w:p>
        </w:tc>
        <w:tc>
          <w:tcPr>
            <w:tcW w:w="100" w:type="dxa"/>
            <w:vAlign w:val="bottom"/>
          </w:tcPr>
          <w:p>
            <w:pPr>
              <w:spacing w:after="0"/>
              <w:rPr>
                <w:sz w:val="12"/>
                <w:szCs w:val="12"/>
                <w:color w:val="auto"/>
              </w:rPr>
            </w:pPr>
          </w:p>
        </w:tc>
        <w:tc>
          <w:tcPr>
            <w:tcW w:w="660" w:type="dxa"/>
            <w:vAlign w:val="bottom"/>
          </w:tcPr>
          <w:p>
            <w:pPr>
              <w:jc w:val="right"/>
              <w:ind w:right="52"/>
              <w:spacing w:after="0" w:line="147" w:lineRule="exact"/>
              <w:rPr>
                <w:sz w:val="20"/>
                <w:szCs w:val="20"/>
                <w:color w:val="auto"/>
              </w:rPr>
            </w:pPr>
            <w:r>
              <w:rPr>
                <w:rFonts w:ascii="Arial" w:cs="Arial" w:eastAsia="Arial" w:hAnsi="Arial"/>
                <w:sz w:val="14"/>
                <w:szCs w:val="14"/>
                <w:b w:val="1"/>
                <w:bCs w:val="1"/>
                <w:color w:val="auto"/>
                <w:w w:val="97"/>
              </w:rPr>
              <w:t>Apr. 30,</w:t>
            </w:r>
          </w:p>
        </w:tc>
        <w:tc>
          <w:tcPr>
            <w:tcW w:w="100" w:type="dxa"/>
            <w:vAlign w:val="bottom"/>
          </w:tcPr>
          <w:p>
            <w:pPr>
              <w:spacing w:after="0"/>
              <w:rPr>
                <w:sz w:val="12"/>
                <w:szCs w:val="12"/>
                <w:color w:val="auto"/>
              </w:rPr>
            </w:pPr>
          </w:p>
        </w:tc>
      </w:tr>
      <w:tr>
        <w:trPr>
          <w:trHeight w:val="171"/>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gridSpan w:val="14"/>
          </w:tcPr>
          <w:p>
            <w:pPr>
              <w:jc w:val="right"/>
              <w:ind w:right="641"/>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50,113</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57,212</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23,896</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33,316</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27,853</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33,807</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46,094</w:t>
            </w:r>
          </w:p>
        </w:tc>
        <w:tc>
          <w:tcPr>
            <w:tcW w:w="10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(16,249)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(15,289)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(15,615)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(13,832)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(10,408)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(18,241)</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(15,576)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(14,337)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(12,119)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(16,045)</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FF0FC"/>
          </w:tcPr>
          <w:p>
            <w:pPr>
              <w:spacing w:after="0"/>
              <w:rPr>
                <w:sz w:val="19"/>
                <w:szCs w:val="19"/>
                <w:color w:val="auto"/>
              </w:rPr>
            </w:pPr>
          </w:p>
        </w:tc>
      </w:tr>
      <w:tr>
        <w:trPr>
          <w:trHeight w:val="263"/>
        </w:trPr>
        <w:tc>
          <w:tcPr>
            <w:tcW w:w="33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(12,489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(17,078</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(14,756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(15,463</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(12,981</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(10,191</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33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ordinary shareholders:</w:t>
            </w: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3340" w:type="dxa"/>
            <w:vAlign w:val="bottom"/>
          </w:tcPr>
          <w:p>
            <w:pPr>
              <w:ind w:left="260"/>
              <w:spacing w:after="0"/>
              <w:rPr>
                <w:sz w:val="20"/>
                <w:szCs w:val="20"/>
                <w:color w:val="auto"/>
              </w:rPr>
            </w:pPr>
            <w:r>
              <w:rPr>
                <w:rFonts w:ascii="Arial" w:cs="Arial" w:eastAsia="Arial" w:hAnsi="Arial"/>
                <w:sz w:val="18"/>
                <w:szCs w:val="18"/>
                <w:color w:val="auto"/>
              </w:rPr>
              <w:t>Basic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(0.39)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(0.39)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429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loss per ordinary share for the year is computed independently and may not equal the sum of the quarterly net loss per ordinary share.</w:t>
      </w:r>
    </w:p>
    <w:p>
      <w:pPr>
        <w:spacing w:after="0" w:line="129"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Our quarterly revenues and operating results are difficult to forecast. Therefore, we believe that period-to-period comparisons of our operating results will not necessarily be meaningful, and should not be relied upon as an indication of future performance. Also, operating results may fall below our expectations and the expectations of analysts or investors in one or more future quarters. If this were to occur, the market price of our ordinary shares would likely decline. For further information regarding the quarterly fluctuation of our revenues and operating results, see Item 1A, “Risk Factors— Fluctuations in our operating results on a quarterly and annual basis could cause the market price of our ordinary shares to decline”.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13a- 15(e) and 15d- 15(e))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January 31, 2021,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 xml:space="preserve">Management has evaluated the effectiveness of our internal control over financial reporting based on the framework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issued by the Committee of Sponsoring Organizations of the Treadway Commission (“COSO”). Based 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has concluded that our internal control over financial reporting was effective as of January 31, 2021.</w:t>
      </w:r>
    </w:p>
    <w:p>
      <w:pPr>
        <w:spacing w:after="0" w:line="76"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January 31, 2021 has been audited by PricewaterhouseCoopers LLP, an independent registered public accounting firm, as stated in their report, which appears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January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Disclosure Controls and Internal Control over Financial Reporting</w:t>
      </w:r>
    </w:p>
    <w:p>
      <w:pPr>
        <w:spacing w:after="0" w:line="12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4" w:name="page65"/>
    <w:bookmarkEnd w:id="64"/>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2021 annual meeting of shareholders to be filed with the Securities and Exchange Commission pursuant to Regulation 14A not later than 120 days after the end of the fiscal year covered by this Annual Report on Form 10-K.</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2021 annual meeting of shareholders to be filed with the Securities and Exchange Commission pursuant to Regulation 14A not later than 120 days after the end of the fiscal year covered by this Annual Report on Form 10-K.</w:t>
      </w:r>
    </w:p>
    <w:p>
      <w:pPr>
        <w:spacing w:after="0" w:line="288" w:lineRule="exact"/>
        <w:rPr>
          <w:sz w:val="20"/>
          <w:szCs w:val="20"/>
          <w:color w:val="auto"/>
        </w:rPr>
      </w:pPr>
    </w:p>
    <w:p>
      <w:pPr>
        <w:jc w:val="both"/>
        <w:ind w:left="1160" w:right="2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2021 annual meeting of shareholders to be filed with the Securities and Exchange Commission pursuant to Regulation 14A not later than 120 days after the end of the fiscal year covered by this Annual Report on Form 10-K.</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2021 annual meeting of shareholders to be filed with the Securities and Exchange Commission pursuant to Regulation 14A not later than 120 days after the end of the fiscal year covered by this Annual Report on Form 10-K.</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responsive to this item is incorporated herein by reference to our Proxy Statement for our 2021 annual meeting of shareholders to be filed with the Securities and Exchange Commission pursuant to Regulation 14A not later than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65" w:name="page66"/>
    <w:bookmarkEnd w:id="65"/>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following consolidated financial statements of the Registrant and Report of PricewaterhouseCoopers LLP, Independent Registered Public Accounting Firm, are included herewith:</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700" w:type="dxa"/>
            <w:vAlign w:val="bottom"/>
            <w:gridSpan w:val="10"/>
          </w:tcPr>
          <w:p>
            <w:pPr>
              <w:spacing w:after="0"/>
              <w:rPr>
                <w:sz w:val="20"/>
                <w:szCs w:val="20"/>
                <w:color w:val="auto"/>
              </w:rPr>
            </w:pPr>
            <w:r>
              <w:rPr>
                <w:rFonts w:ascii="Arial" w:cs="Arial" w:eastAsia="Arial" w:hAnsi="Arial"/>
                <w:sz w:val="14"/>
                <w:szCs w:val="14"/>
                <w:b w:val="1"/>
                <w:bCs w:val="1"/>
                <w:color w:val="auto"/>
              </w:rPr>
              <w:t>Financial Statement Description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169"/>
        </w:trPr>
        <w:tc>
          <w:tcPr>
            <w:tcW w:w="9600" w:type="dxa"/>
            <w:vAlign w:val="bottom"/>
            <w:tcBorders>
              <w:top w:val="single" w:sz="8" w:color="auto"/>
            </w:tcBorders>
            <w:gridSpan w:val="9"/>
          </w:tcPr>
          <w:p>
            <w:pPr>
              <w:ind w:left="380"/>
              <w:spacing w:after="0" w:line="16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7">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EE"/>
                </w:rPr>
                <w:t>Consolidated Balance Sheets As of January 31, 2021 and 2020</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0">
              <w:r>
                <w:rPr>
                  <w:rFonts w:ascii="Arial" w:cs="Arial" w:eastAsia="Arial" w:hAnsi="Arial"/>
                  <w:sz w:val="18"/>
                  <w:szCs w:val="18"/>
                  <w:color w:val="0000EE"/>
                </w:rPr>
                <w:t>Consolidated Statements of Operations For the Years Ended January 31, 2021, 2020 and 2019</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1">
              <w:r>
                <w:rPr>
                  <w:rFonts w:ascii="Arial" w:cs="Arial" w:eastAsia="Arial" w:hAnsi="Arial"/>
                  <w:sz w:val="18"/>
                  <w:szCs w:val="18"/>
                  <w:color w:val="0000EE"/>
                </w:rPr>
                <w:t>Consolidated Statements of Comprehensive Loss For the Years Ended January 31, 2021, 2020 and 2019</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2">
              <w:r>
                <w:rPr>
                  <w:rFonts w:ascii="Arial" w:cs="Arial" w:eastAsia="Arial" w:hAnsi="Arial"/>
                  <w:sz w:val="18"/>
                  <w:szCs w:val="18"/>
                  <w:color w:val="0000EE"/>
                </w:rPr>
                <w:t>Consolidated Statements of Shareholders’ Equity For the Years Ended January 31, 2021, 2020 and 2019</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3">
              <w:r>
                <w:rPr>
                  <w:rFonts w:ascii="Arial" w:cs="Arial" w:eastAsia="Arial" w:hAnsi="Arial"/>
                  <w:sz w:val="18"/>
                  <w:szCs w:val="18"/>
                  <w:color w:val="0000EE"/>
                </w:rPr>
                <w:t>Consolidated Statements of Cash Flows For the Years Ended January 31, 2021, 2020 and 2019</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4">
              <w:r>
                <w:rPr>
                  <w:rFonts w:ascii="Arial" w:cs="Arial" w:eastAsia="Arial" w:hAnsi="Arial"/>
                  <w:sz w:val="18"/>
                  <w:szCs w:val="18"/>
                  <w:color w:val="0000EE"/>
                </w:rPr>
                <w:t>Notes to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(2) Financial Statement Schedule</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the Financial Statements or the notes thereto.</w:t>
      </w:r>
    </w:p>
    <w:p>
      <w:pPr>
        <w:spacing w:after="0" w:line="27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exhibits listed below in the accompanying “Exhibits Index”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66" w:name="page67"/>
    <w:bookmarkEnd w:id="6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Ambarella,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Ambarella, Inc. and its subsidiaries (the “Company”) as of January 31, 2021 and 2020, and the related consolidated statements of operations, comprehensive loss, shareholders’ equity and cash flows for each of the three years in the period ended January 31, 2021, including the related notes (collectively referred to as the “consolidated financial statements”). We also have audited the Company's internal control over financial reporting as of January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2021 and 2020, and the results of its operations and its cash flows for each of the three years in the period ended January 31, 2021 in conformity with accounting principles generally accepted in the United States of America. Also in our opinion, the Company maintained, in all material respects, effective internal control over financial reporting as of January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fiscal year 2020 and the manner in which it accounts for revenue from contracts with customers in fiscal year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in Notes 1 and 13 to the consolidated financial statements, the Company's accounting for income taxes requires the recognition of deferred tax assets and liabilities for the expected future tax consequences of events that have been recognized in its financial statements or tax returns. As disclosed by the Company, management evaluates the realization of tax assets and estimates of tax liabilities, including reserves for uncertain tax positions. Management considers and evaluates numerous factors, which may require periodic adjustments and which may not reflect the final tax liabilities. Management adjusts its financial statements to reflect only those tax positions that are more likely than not to be sustained under examination, and considers whether a valuation allowance should be established against its deferred tax assets based on the consideration of all available evidence.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The Company’s worldwide operating income is subject to varying tax rates and its effective tax rate is highly dependent upon the geographic distribution of its earnings or losses and the tax laws and regulations in each geographical region. The Company’s effective tax rate of (4%) for the year ended January 31, 2021 was different than the U.S. federal statutory rate of 21%.</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accounting for income taxes is a critical audit matter are the significant judgment by management in determining the income tax provision and other tax positions, specifically in the determination of taxable income or loss by jurisdiction taxed or benefited at rates other than the U.S. federal statutory rate, and the recognition and measurement of deferred tax assets, valuation allowances, and uncertain tax positions. This in turn led to a high degree of auditor judgment, subjectivity, and effort in performing audit procedures and evaluating audit evidence. The audit effort involved the use of professionals with specialized skill and knowledge.</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those related to the assessment of uncertain tax positions, determination of operating income or loss by jurisdiction taxed or benefited at rates other than the U.S. federal statutory rate, and the recognition and measurement of deferred tax assets and valuation allowances. These procedures also included, among others, (i) testing the calculation of the income tax provision, including the accuracy of taxable income by jurisdiction, (ii) evaluating the reasonableness of cost plus percentages for entities selected for testing based on management’s methodology for determining taxable income or loss by jurisdiction, (iii) evaluating the recognition and measurement of valuation allowances, and (iv) evaluating the recognition and measurement of uncertain tax positions, including management’s assessment of the technical merits of tax positions and estimates of the amount of tax benefit expected to be sustained for the uncertain tax position selected for testing. Professionals with specialized skill and knowledge were used to assist in evaluating the appropriateness of management’s judgment and estimates related to management’s methodology for determining taxable income or loss by jurisdiction, which included evaluation of management’s application of relevant rules for determining arm’s length compensation for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2E2E2E"/>
        </w:rPr>
        <w:t xml:space="preserve">/s/ </w:t>
      </w:r>
      <w:r>
        <w:rPr>
          <w:rFonts w:ascii="Arial" w:cs="Arial" w:eastAsia="Arial" w:hAnsi="Arial"/>
          <w:sz w:val="18"/>
          <w:szCs w:val="18"/>
          <w:color w:val="000000"/>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32"/>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15"/>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241,274</w:t>
            </w:r>
          </w:p>
        </w:tc>
        <w:tc>
          <w:tcPr>
            <w:tcW w:w="5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debt securities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497,304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Preference shares, $0.00045 par value per share, 20,000,000 shares authorized and no</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7"/>
              </w:rPr>
              <w:t>shares issued and outstanding at January 31, 2021 and January 31, 2020, respectively</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20" w:type="dxa"/>
            <w:vAlign w:val="bottom"/>
          </w:tcPr>
          <w:p>
            <w:pPr>
              <w:ind w:left="260"/>
              <w:spacing w:after="0"/>
              <w:rPr>
                <w:sz w:val="20"/>
                <w:szCs w:val="20"/>
                <w:color w:val="auto"/>
              </w:rPr>
            </w:pPr>
            <w:r>
              <w:rPr>
                <w:rFonts w:ascii="Arial" w:cs="Arial" w:eastAsia="Arial" w:hAnsi="Arial"/>
                <w:sz w:val="18"/>
                <w:szCs w:val="18"/>
                <w:color w:val="auto"/>
              </w:rPr>
              <w:t>Ordinary shares, $0.00045 par value per share, 200,000,000 shares authorized at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w w:val="99"/>
              </w:rPr>
              <w:t>January 31, 2021 and January 31, 2020, respectively; 35,547,440 shares issued and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outstanding at January 31, 2021; 33,805,609 shares issued and outstanding at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January 31, 2020</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347,458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126,283</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474,976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Year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132,709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182,358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(59,786)</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(44,792)</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500" w:type="dxa"/>
            <w:vAlign w:val="bottom"/>
          </w:tcPr>
          <w:p>
            <w:pPr>
              <w:ind w:left="26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net loss per share</w:t>
            </w: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attributable to ordinary shareholders:</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34,679,717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33,083,562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32,713,606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34,679,717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33,083,562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32,713,606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Year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(30,447)</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investments</w:t>
            </w:r>
          </w:p>
        </w:tc>
        <w:tc>
          <w:tcPr>
            <w:tcW w:w="18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(59,335)</w:t>
            </w:r>
          </w:p>
        </w:tc>
        <w:tc>
          <w:tcPr>
            <w:tcW w:w="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(44,121)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(30,071)</w:t>
            </w: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color w:val="auto"/>
        </w:rPr>
        <w:t>AMBARELLA,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20" w:type="dxa"/>
            <w:vAlign w:val="bottom"/>
            <w:gridSpan w:val="4"/>
          </w:tcPr>
          <w:p>
            <w:pPr>
              <w:jc w:val="right"/>
              <w:ind w:right="36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4"/>
                <w:szCs w:val="14"/>
                <w:b w:val="1"/>
                <w:bCs w:val="1"/>
                <w:color w:val="auto"/>
              </w:rPr>
              <w:t>Ordinary Shares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33,489,614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482,187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Cumulative effect of change in accounting principle</w:t>
            </w: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920,826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Stock repurchase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(2,485,992)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(99,903)</w:t>
            </w: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Stock-based compensation expense related to stock awards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 to employees and consultants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Net unrealized gains on investments - net of 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(30,447)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(30,447)</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Balance--January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32,303,540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188,516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230,861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419,489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957,319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1"/>
              </w:rPr>
              <w:t>Stock-based compensation expense related to stock awards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granted to employees and consultants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investments - net of tax</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(44,792)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(44,792)</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33,805,609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1,162,883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182,931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repurchase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(25,719)</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w w:val="91"/>
              </w:rPr>
              <w:t>Stock-based compensation expense related to stock awards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granted to employees and consultants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65,730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investments - net of tax</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(59,786)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(59,786)</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35,547,440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AMBARELLA,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Year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7"/>
                <w:szCs w:val="17"/>
                <w:color w:val="auto"/>
              </w:rPr>
              <w:t>Net loss</w:t>
            </w:r>
          </w:p>
        </w:tc>
        <w:tc>
          <w:tcPr>
            <w:tcW w:w="5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(59,786)</w:t>
            </w:r>
          </w:p>
        </w:tc>
        <w:tc>
          <w:tcPr>
            <w:tcW w:w="4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(44,792)</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(30,447)</w:t>
            </w:r>
          </w:p>
        </w:tc>
        <w:tc>
          <w:tcPr>
            <w:tcW w:w="0" w:type="dxa"/>
            <w:vAlign w:val="bottom"/>
          </w:tcPr>
          <w:p>
            <w:pPr>
              <w:spacing w:after="0"/>
              <w:rPr>
                <w:sz w:val="1"/>
                <w:szCs w:val="1"/>
                <w:color w:val="auto"/>
              </w:rPr>
            </w:pPr>
          </w:p>
        </w:tc>
      </w:tr>
      <w:tr>
        <w:trPr>
          <w:trHeight w:val="198"/>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activities:</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w w:val="96"/>
              </w:rPr>
              <w:t>Amortization (accretion) of premium (discount) on marketable debt securities, net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(969)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66,871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(514)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(6,945)</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Other non-cash items,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(6,487)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(4,719)</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(2,202)</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assets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(3,298)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(7,014)</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and other current liabilities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12,055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(8,302)</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(302)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(2,416)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(2,851)</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1,585</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30,800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39,414</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7"/>
                <w:szCs w:val="17"/>
                <w:color w:val="auto"/>
              </w:rPr>
              <w:t>Purchases of investments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(219,677)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(225,913)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(207,841)</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96,363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123,208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122,795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(1,952)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(1,821)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(2,940)</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7"/>
                <w:szCs w:val="17"/>
                <w:color w:val="auto"/>
              </w:rPr>
              <w:t>Purchase of intangible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(2,990)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3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(31,324)</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(8,576)</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(79,142)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11,960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(99,904)</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 for intangible assets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(5,021)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(5,444)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(4,735)</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2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10,396</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6,516</w:t>
            </w:r>
          </w:p>
        </w:tc>
        <w:tc>
          <w:tcPr>
            <w:tcW w:w="2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(97,953)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37,354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231,412</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194,058</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346,681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241,284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231,412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194,058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income taxes</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1,531</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activities:</w:t>
            </w: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Unpaid liabilities related to intangible and fixed assets purchases</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4,302</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12,284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20" w:right="6260" w:hanging="512"/>
        <w:spacing w:after="0" w:line="377" w:lineRule="auto"/>
        <w:tabs>
          <w:tab w:leader="none" w:pos="19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sells its solutions to leading original design manufacturers, or ODMs, and original equipment manufacturers, or OEMs, globally.</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Company’s fiscal year ends on January 31. The consolidated financial statements of the Company and its subsidiaries have been prepared in conformity with accounting principles generally accepted in the United States (“U.S. GAAP”). All intercompany transactions and balances have been eliminated in consolidation.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an ongoing basis, management evaluates its estimates and assumptions, including those related to (i) write down of excess and obsolete inventories; (ii) the estimated useful lives of long-lived assets; (iii) the valuation of stock-based compensation awards and financial instruments; (iv) the probability of performance objectives achievement; (v) the realization of tax assets and estimates of tax liabilities, including reserves for uncertain tax positions.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WT Microelectronics Co., Ltd., formerly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4" w:name="page75"/>
    <w:bookmarkEnd w:id="74"/>
    <w:p>
      <w:pPr>
        <w:ind w:right="40" w:firstLine="510"/>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Company classifies the marketable securities as “available-for-sale” securities and record them at fair value based on quoted market prices of similar assets. On February 1, 2020, the Company adopted ASU No. 2016-13 (ASU 2016-13), Financial Instruments-Credit Losses (Topic 326): Measurement of Credit Losses on Financial Instruments, using the modified retrospective transition method. Under this new guidance, the Company recognizes credit losses based on a forward-looking current expected credit losses (CECL) model instead of the previous incurred loss model for financial instruments.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expectations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(loss), net in the consolidated income statement but is limited to the difference between the fair value and the amortized cost basis of the security, adjusted for accrued interest. The non-credit-related portion of the loss is recognized in the accumulated other comprehensive income (loss) in the consolidated balance sheet. The cumulative effect adjustment upon the adoption on February 1, 2020 was immaterial and the credit-related losses from the Company’s financial instruments were not material as of January 31, 2021.</w:t>
      </w:r>
    </w:p>
    <w:p>
      <w:pPr>
        <w:spacing w:after="0" w:line="174"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asserts in active markets, or model driven valuations using significant inputs derived from or corroborated by observable market data and are classified within Level 2. So far, the Company has no debt securities under unobservable inputs and classified within Level 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Amounts included in restricted cash represent those required to be set aside to secure certain transactions in a foreign entity. As of January 31, 2021 and 2020, the restricted cash was immaterial, respectively. The following table presents cash, cash equivalents and restricted cash reported on the consolidated balance sheets, and the sums are presented on the consolidated statements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As of January 31,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19"/>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241,274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21"/>
                <w:szCs w:val="21"/>
                <w:color w:val="auto"/>
              </w:rPr>
            </w:pPr>
          </w:p>
        </w:tc>
      </w:tr>
      <w:tr>
        <w:trPr>
          <w:trHeight w:val="237"/>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Total as presented in the consolidated statements of cash flows</w:t>
            </w:r>
          </w:p>
        </w:tc>
        <w:tc>
          <w:tcPr>
            <w:tcW w:w="144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241,284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231,412</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100" w:type="dxa"/>
            <w:vAlign w:val="bottom"/>
            <w:shd w:val="clear" w:color="auto" w:fill="CFF0FC"/>
          </w:tcPr>
          <w:p>
            <w:pPr>
              <w:spacing w:after="0"/>
              <w:rPr>
                <w:sz w:val="20"/>
                <w:szCs w:val="20"/>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Trade Accounts Receivable and Allowance for Credit Losses</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Company’s accounts receivables are recorded at invoiced amounts less allowance for any credit losses. According to ASU 2016-13, the Company recognizes credit losses based on a forward-looking current expected credit losses (CECL). The Company makes estimates of expected credit losses based upon its assessment of various factors, including historical collection experience, the age of accounts receivable balances, credit quality of its customers, current economic conditions, reasonable and supportable forecasts of future economic conditions, and other factors that may affect its ability to collect from customers. The changes in allowance for credit losses are recognized in the consolidated statement of operations. The uncollectible accounts receivables are written off in the period in which a determination is made that all commercially reasonable means of recovering them have been exhausted. There were no material write-offs of accounts receivable for the fiscal years ended January 31, 2021, 2020 and 2019, respectively. There was no material current expected credit losses recorded as of January 31, 2021 and 2020, respectively.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fiscal years ended January 31, 2021, 2020 and 2019, respectively.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Property and equipment are stated at cost and depreciated using the straight-line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Internal-Use Software License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Effective February 1, 2019, the Company adopted Accounting Standards Codification (“ASC”) Topic 842, Leases, using the alternative transition method with an adjustment to the opening balance in the period of adoption without adjustment of comparative period financial statements. Under this new guidance,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other available practical expedients, and has elected not to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classified as operating leases. Certain leases include renewal options that are under the Company's discretion. The renewal options are included in the ROU assets and liability calculation if it is reasonably certain that the Company will exercise the option. The Company's short-term leases and finance leases are immaterial as of January 31, 2021 and January 31, 2020, respectively.</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In-Process Research and Development</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does not amortize goodwill. Acquired in-process research and development, or IPR&amp;D, is capitalized at fair value as an intangible asset and amortization commences upon completion of the underlying projects. When a project underlying reported IPR&amp;D is completed, the corresponding amount of IPR&amp;D is reclassified as an amortizable purchased intangible asset and is amortized over its estimated useful life. As of January 31, 2021, there was no IPR&amp;D amortized.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 Including Goodwill and Other Acquired Intangible Assets</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to date that would trigger an impairment analysis. As such, no impairment charge has been recognized as of January 31, 2021.</w:t>
      </w:r>
    </w:p>
    <w:p>
      <w:pPr>
        <w:spacing w:after="0" w:line="17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tests the goodwill for impairment at least annually in the fourth fiscal quarter, or sooner whenever events or changes in circumstances indicate that the asset may be impaired. The Company has a single reporting unit for goodwill impairment test purposes based on its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a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Arial" w:cs="Arial" w:eastAsia="Arial" w:hAnsi="Arial"/>
          <w:sz w:val="18"/>
          <w:szCs w:val="18"/>
          <w:color w:val="333333"/>
        </w:rPr>
        <w:t>.</w:t>
      </w:r>
      <w:r>
        <w:rPr>
          <w:rFonts w:ascii="Arial" w:cs="Arial" w:eastAsia="Arial" w:hAnsi="Arial"/>
          <w:sz w:val="18"/>
          <w:szCs w:val="18"/>
          <w:color w:val="auto"/>
        </w:rPr>
        <w:t xml:space="preserve"> No goodwill impairment has been identified to date based on the Company’s qualitative factors assessment.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accounts for its investment in a privately held company as an equity investment and reports the investment in other non-current assets in the consolidated balance sheets. The Company chooses to measure this equity investment that does not have readily determinable fair value at cost minus any recorded impairments, adjusted for observable price changes in transactions for an identical or similar investment of the same issuer. Upon determining that an impairment or observable price change exists, the Company records any adjustment to the fair value of the investment through net income. To date, there have been no identified events or changes in circumstances that may have a significant effect on the fair value of this investment and the Company has not recognized any impairment losses related to this investment nor have there been any observable price changes.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Effective February 1, 2018, the Company adopted ASC 606, Revenue from Contracts with Customers. As a result,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8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and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74"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fiscal years ended January 31, 2021, 2020 and 2019, respectively.</w:t>
      </w:r>
    </w:p>
    <w:p>
      <w:pPr>
        <w:spacing w:after="0" w:line="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January 31, 2021 and 2020,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twelve months ended January 31, 2021 and 2020, the Company did not recognize any material revenue adjustment, respectively, related to performance obligations satisfied in prior periods released from this deferred revenue. As of January 31, 2021 and 2020, the respective deferred revenues were not material. Additionally, the transaction price allocated to unsatisfied, or partially unsatisfied, purchase orders for contracts that are greater than a year was not material as of January 31, 2021 and 2020, respectively. The Company also elects not to disclose the value of unsatisfied or partially unsatisfied performance obligations due to original expected contract duration of one year or less and elects to exclude amounts collected from customers for all sales taxes from the transaction price.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January 31, 2021, there was approximately $1.4 million of grants recorded in prepaid expenses and other current assets and approximately $2.0 million of grants recorded in other non-current assets in the consolidated balance sheets.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Selling, general and administrative expenses consist of personnel costs, travel and trade show costs, legal expenses, other professional services and occupancy costs. Advertising expenses were not material for the fiscal years ended January 31, 2021, 2020 and 2019,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Company measures stock-based compensation for equity awards granted to employees and directors based on the estimated fair value on the grant date, and recognizes that compensation as expense using the straight-line attribution method for service condition awards or using the graded-vesting attribution method for awards with performance conditions over the requisite service period, which is typically the vesting period of each award. The Company determines the fair value of restricted stock and restricted stock units with service or performance conditions based on the fair market value of its ordinary shares on the grant date. The Company uses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The Company calculates expected volatility based on its own historical stock price for a period commensurate with the expected term, which is computed based on its own historical exercise behavior. The risk-free interest rate is derived from an average of the U.S. Treasury constant maturity rates for the respective periods most closely commensurate with the expected term. The expected dividend yield is zero because the Company has not historically paid dividends and has no present intention to pay dividends. The Company uses the Lattice pricing model and Monte Carlo Simulation to evaluate the fair value of awards with market conditions, including assumptions of historical volatility and risk-free interest rate commensurate with the vesting term. The Company elects to account for forfeitures as they occur.</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80"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53"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24"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income statement for the periods in which the adjustment is determined to be required.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Comprehensive income (loss) includes unrealized gains or losses from available-for-sale securities that are excluded from net income (loss).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9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January 2020, the FASB issued ASU 2020-01 - Investments - Equity securities (Topic 321), Investments - Equity method and joint ventures (Topic 323), and Derivatives and hedging (Topic 815) - Clarifying the interactions between Topic 321, Topic 323, and Topic 815. The amendments in this Update improve the accounting for certain equity securities upon the application or discontinuation of the equity method of accounting and clarify the scope considerations for forward contracts and purchased options on certain securities.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October 2020, the FASB issued ASU 2020-08, Codification Improvements to Subtopic 310-20, Receivables – Nonrefundable Fees and Other Costs. The amendments in this Update clarify that at each reporting date an entity should reevaluate whether a callable debt security is within scope of this guidance, which has explicit, noncontingent call options that are callable at fixed prices and on preset dates at prices less than the amortized cost basis of the security. For each reporting period, if amortization basis for each individual callable debt security exceeds the amount repayable by the issuer at the next call date, the premium shall be amortized to the next call date. The amendments are effective for public entities in fiscal years beginning after December 15, 2020, including interim periods within those fiscal years. Early adoption is not permitted. The Company did not early adopt and believes the adoption of this new guidance will not have a material impact on its consolidated financial statements and disclosures.</w:t>
      </w:r>
    </w:p>
    <w:p>
      <w:pPr>
        <w:spacing w:after="0" w:line="7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October 2020, the FASB issued ASU 2020-10, Codification Improvements. The amendments in this Update improves consistency by amending the Codification to include all disclosure guidance in the appropriate sections and clarifies application of various provisions in the Codification by amending and adding new headings, cross referencing to other guidance, and refining or correcting terminology.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33" w:right="4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consolidated balance sheets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4"/>
                <w:szCs w:val="14"/>
                <w:b w:val="1"/>
                <w:bCs w:val="1"/>
                <w:color w:val="auto"/>
                <w:w w:val="92"/>
              </w:rPr>
              <w:t>As of January 31, 2021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54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213,583</w:t>
            </w: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4"/>
                <w:szCs w:val="14"/>
                <w:b w:val="1"/>
                <w:bCs w:val="1"/>
                <w:color w:val="auto"/>
                <w:w w:val="92"/>
              </w:rPr>
              <w:t>As of January 31, 2020</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1"/>
                <w:szCs w:val="11"/>
                <w:color w:val="auto"/>
              </w:rPr>
            </w:pPr>
          </w:p>
        </w:tc>
        <w:tc>
          <w:tcPr>
            <w:tcW w:w="900" w:type="dxa"/>
            <w:vAlign w:val="bottom"/>
          </w:tcPr>
          <w:p>
            <w:pPr>
              <w:jc w:val="center"/>
              <w:ind w:left="13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left="13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210,313</w:t>
            </w: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January 31, 2021, there were no debt securities with unrealized losses for more than twelve months.</w:t>
      </w:r>
    </w:p>
    <w:p>
      <w:pPr>
        <w:spacing w:after="0" w:line="82"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January 31,</w:t>
            </w:r>
          </w:p>
        </w:tc>
        <w:tc>
          <w:tcPr>
            <w:tcW w:w="13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January 31, 2020</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center"/>
              <w:ind w:left="4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15,368</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199,434</w:t>
            </w:r>
          </w:p>
        </w:tc>
        <w:tc>
          <w:tcPr>
            <w:tcW w:w="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173,345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1"/>
              </w:rPr>
              <w:t>Total cash equivalents and marketable debt securities</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211,081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January 31, 2021 and 2020 were as follows: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5"/>
              </w:rPr>
              <w:t>January 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4"/>
          </w:tcPr>
          <w:p>
            <w:pPr>
              <w:jc w:val="center"/>
              <w:ind w:left="459"/>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135,899</w:t>
            </w:r>
          </w:p>
        </w:tc>
        <w:tc>
          <w:tcPr>
            <w:tcW w:w="6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146,267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1"/>
              </w:rPr>
              <w:t>Total cash equivalents and marketable debt securities</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211,081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unrealized gains and losses on the available-for-sale securities were primarily caused by fluctuations in market value and interest rates as a result of the economic environment. Upon adoption of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of the Company’s financial instruments were not material for the fiscal year ended January 31, 2021. The net amounts of unrealized gains and unrealized losses that are not credit-related are recognized in other comprehensive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both"/>
        <w:ind w:right="120" w:firstLine="510"/>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160" w:firstLine="510"/>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the fair value of the financial instruments measured on a recurring basis as of January 31, 2021 and 2020, respectively: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As of January 31, 2021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103,081</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29,465</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29,465</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52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214,802</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214,631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As of January 31, 2020</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95,706</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211,081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ind w:left="520"/>
              <w:spacing w:after="0"/>
              <w:rPr>
                <w:sz w:val="20"/>
                <w:szCs w:val="20"/>
                <w:color w:val="auto"/>
              </w:rPr>
            </w:pPr>
            <w:r>
              <w:rPr>
                <w:rFonts w:ascii="Arial" w:cs="Arial" w:eastAsia="Arial" w:hAnsi="Arial"/>
                <w:sz w:val="18"/>
                <w:szCs w:val="18"/>
                <w:color w:val="auto"/>
                <w:w w:val="97"/>
              </w:rPr>
              <w:t>Inventories at January 31, 2021 and 2020 consisted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8"/>
          </w:tcPr>
          <w:p>
            <w:pPr>
              <w:ind w:left="480"/>
              <w:spacing w:after="0"/>
              <w:rPr>
                <w:sz w:val="20"/>
                <w:szCs w:val="20"/>
                <w:color w:val="auto"/>
              </w:rPr>
            </w:pPr>
            <w:r>
              <w:rPr>
                <w:rFonts w:ascii="Arial" w:cs="Arial" w:eastAsia="Arial" w:hAnsi="Arial"/>
                <w:sz w:val="14"/>
                <w:szCs w:val="14"/>
                <w:b w:val="1"/>
                <w:bCs w:val="1"/>
                <w:color w:val="auto"/>
              </w:rPr>
              <w:t>As of January 31,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7"/>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18,219</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10,133</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12,838</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26,081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22,971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Depreciation expense was approximately $2.6 million, $2.8 million and $2.6 million for the fiscal years ended January 31, 2021, 2020 and 2019, respectively. Property and equipment at January 31, 2021 and 2020 consisted of the following:</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January 31,</w:t>
            </w:r>
          </w:p>
        </w:tc>
      </w:t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19,987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(16,478)</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(14,373)</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intangible assets primarily consist of $4.1 million of in-process research and development (“IPR&amp;D”) from the acquisition of VisLab S.r.l., or VisLab, in June 2015 and $14.6 million of noncancelable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January 31, 2021, there was no IPR&amp;D amortized. The Company will determine the project incorporating the VisLab IPR&amp;D to be completed when a related chip begins mass production to address the level 3 and above advanced driving assistance systems markets.</w:t>
      </w:r>
    </w:p>
    <w:p>
      <w:pPr>
        <w:spacing w:after="0" w:line="70"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January 31, 2021, $5.6 million was recorded in accrued and other current liabilities and $6.3 million was recorded in other long-term liabilities in the consolidated balance sheets.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intangible assets as of January 31, 2021 and 2020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January 31, 2021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As of January 31, 2020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12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Software licenses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21,043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(6,440)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(13,477)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acquired intangible assets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(13,477</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During the twelve months ended January 31, 2021, there was approximately $13.5 million of software licenses retired. The amortization expense related to these software licenses was approximately $6.5 million, $5.9 million, and $4.7 million for the fiscal years ended January 31, 2021, 2020, and 2019 respectively. The expected annual amortization expense related to these software licenses as of January 31, 2021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January 31, 2021</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FF0FC"/>
          </w:tcPr>
          <w:p>
            <w:pPr>
              <w:spacing w:after="0"/>
              <w:rPr>
                <w:sz w:val="19"/>
                <w:szCs w:val="19"/>
                <w:color w:val="auto"/>
              </w:rPr>
            </w:pPr>
          </w:p>
        </w:tc>
        <w:tc>
          <w:tcPr>
            <w:tcW w:w="3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60"/>
              <w:spacing w:after="0"/>
              <w:rPr>
                <w:sz w:val="20"/>
                <w:szCs w:val="20"/>
                <w:color w:val="auto"/>
              </w:rPr>
            </w:pPr>
            <w:r>
              <w:rPr>
                <w:rFonts w:ascii="Arial" w:cs="Arial" w:eastAsia="Arial" w:hAnsi="Arial"/>
                <w:sz w:val="18"/>
                <w:szCs w:val="18"/>
                <w:color w:val="auto"/>
              </w:rPr>
              <w:t>2025</w:t>
            </w: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2026</w:t>
            </w:r>
          </w:p>
        </w:tc>
        <w:tc>
          <w:tcPr>
            <w:tcW w:w="54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60"/>
              <w:spacing w:after="0"/>
              <w:rPr>
                <w:sz w:val="20"/>
                <w:szCs w:val="20"/>
                <w:color w:val="auto"/>
              </w:rPr>
            </w:pPr>
            <w:r>
              <w:rPr>
                <w:rFonts w:ascii="Arial" w:cs="Arial" w:eastAsia="Arial" w:hAnsi="Arial"/>
                <w:sz w:val="18"/>
                <w:szCs w:val="18"/>
                <w:color w:val="auto"/>
              </w:rPr>
              <w:t>Thereafter</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future amortization expenses:</w:t>
            </w:r>
          </w:p>
        </w:tc>
        <w:tc>
          <w:tcPr>
            <w:tcW w:w="3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intangible asset impairments for the fiscal years ended January 31, 2021, 2020 and 2019,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June 25, 2015, the Company completed the acquisition of VisLab, a privately-held Italian company that develops computer vision and intelligent control systems for automotive and other commercial applications, including advanced driver assistance systems and several generations of autonomous vehicle driving systems, for $30.0 million in cash. As a result, there was $25.3 million attributed to goodwill, $4.1 million attributed to intangible assets and $0.6 million attributed to net assets acquired. A deferred tax liability of $1.3 million related to the intangible assets was recorded to account for the difference between financial reporting and tax basis at the acquisition date, with an addition to goodwill. The Company does not amortize goodwill. There were no goodwill impairments for the fiscal years ended January 31, 2021, 2020 and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January 31, 2021 and 2020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6"/>
          </w:tcPr>
          <w:p>
            <w:pPr>
              <w:ind w:left="400"/>
              <w:spacing w:after="0"/>
              <w:rPr>
                <w:sz w:val="20"/>
                <w:szCs w:val="20"/>
                <w:color w:val="auto"/>
              </w:rPr>
            </w:pPr>
            <w:r>
              <w:rPr>
                <w:rFonts w:ascii="Arial" w:cs="Arial" w:eastAsia="Arial" w:hAnsi="Arial"/>
                <w:sz w:val="14"/>
                <w:szCs w:val="14"/>
                <w:b w:val="1"/>
                <w:bCs w:val="1"/>
                <w:color w:val="auto"/>
              </w:rPr>
              <w:t>As of January 31,</w:t>
            </w:r>
          </w:p>
        </w:tc>
      </w:tr>
      <w:tr>
        <w:trPr>
          <w:trHeight w:val="155"/>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18,105</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16,874</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Accrued rebates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8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1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34,970</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timing of SoC development progress and payments to outside foundries resulted in fluctuation of the accrued product development costs.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 has entered into various operating leases for its worldwide office buildings and research and development facilities. For the fiscal year ended January 31, 2020, the Company exercised the renewal option to extend its U.S. office lease for a period of 63 months beginning from June 1, 2020 through August 31, 2025 and renewed its Shanghai office lease for another two years beginning from December 1, 2019 to November 30, 2021. The Company accounted these two renewed contracts as lease modifications and recorded an increase to the operating lease right-of-use assets and corresponding operating lease liabilities by approximately $4.0 million, respectively, in the consolidated balance sheets.</w:t>
      </w:r>
    </w:p>
    <w:p>
      <w:pPr>
        <w:spacing w:after="0" w:line="17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August 2019, the Company also signed a separate lease for additional space for its U.S. office for a period of 56 months beginning from January 1, 2021 through August 31, 2025. In October 2020, the expansion premise lease agreement was amended to allow the Company to access the additional space one month early starting from the December 1, 2020. The Company recorded an increase to the operating lease right-of-use assets and corresponding operating lease liabilities by approximately $1.6 million, respectively, in the consolidated balance sheet upon commencement date on December 1, 2020.</w:t>
      </w:r>
    </w:p>
    <w:p>
      <w:pPr>
        <w:spacing w:after="0" w:line="15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In August 2019, VisLab, a wholly-owned subsidiary, was granted a land lease for 35 years with an obligation to construct a building on the land in line with architectural requirements from the lessor in Parma, Italy (“Parma lease”). The Company will be responsible for the costs of construction and occupy the building after completion of construction for the remainder of the lease term. At the end of the lease, the land together with the building and all of the improvements will revert to the lessor. The Parma lease will be recorded in the balance sheet upon completion of the building construction, which is expected to be two years after the lease inception date. Any payments made prior to completion of construction will be recorded as prepayments of the lease in other non-current assets in the consolidated balance sheets. There have been no payments made for the fiscal year ended January 31, 2021. The total estimated future undiscounted cash payments are approximately $2.2 million, of which $1.8 million will be paid in the construction phase and the remaining balance of $0.4 million will be paid over the remainder of the lease term.</w:t>
      </w:r>
    </w:p>
    <w:p>
      <w:pPr>
        <w:spacing w:after="0" w:line="178"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For the fiscal year ended January 31, 2021 and January 31, 2020, the Company recorded approximately $3.0 million of operating lease expense under ASC 842. Approximately $4.6 million of operating lease expense was recorded for the fiscal year ended January 31, 2019 under ASC 840. The Company's short-term leases and finance leases are immaterial as of January 31,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4" w:name="page85"/>
    <w:bookmarkEnd w:id="84"/>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tcPr>
          <w:p>
            <w:pPr>
              <w:jc w:val="right"/>
              <w:ind w:right="1099"/>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8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8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80" w:type="dxa"/>
            <w:vAlign w:val="bottom"/>
          </w:tcPr>
          <w:p>
            <w:pPr>
              <w:jc w:val="right"/>
              <w:ind w:right="879"/>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30"/>
        </w:trPr>
        <w:tc>
          <w:tcPr>
            <w:tcW w:w="84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38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2,416</w:t>
            </w:r>
          </w:p>
        </w:tc>
      </w:tr>
      <w:tr>
        <w:trPr>
          <w:trHeight w:val="243"/>
        </w:trPr>
        <w:tc>
          <w:tcPr>
            <w:tcW w:w="8460" w:type="dxa"/>
            <w:vAlign w:val="bottom"/>
          </w:tcPr>
          <w:p>
            <w:pPr>
              <w:spacing w:after="0"/>
              <w:rPr>
                <w:sz w:val="20"/>
                <w:szCs w:val="20"/>
                <w:color w:val="auto"/>
              </w:rPr>
            </w:pPr>
            <w:r>
              <w:rPr>
                <w:rFonts w:ascii="Arial" w:cs="Arial" w:eastAsia="Arial" w:hAnsi="Arial"/>
                <w:sz w:val="18"/>
                <w:szCs w:val="18"/>
                <w:color w:val="auto"/>
              </w:rPr>
              <w:t>Supplemental non-cash information related to lease liabilities arising from obtaining right-of-use assets</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2380" w:type="dxa"/>
            <w:vAlign w:val="bottom"/>
          </w:tcPr>
          <w:p>
            <w:pPr>
              <w:jc w:val="right"/>
              <w:ind w:right="219"/>
              <w:spacing w:after="0"/>
              <w:rPr>
                <w:sz w:val="20"/>
                <w:szCs w:val="20"/>
                <w:color w:val="auto"/>
              </w:rPr>
            </w:pPr>
            <w:r>
              <w:rPr>
                <w:rFonts w:ascii="Arial" w:cs="Arial" w:eastAsia="Arial" w:hAnsi="Arial"/>
                <w:sz w:val="18"/>
                <w:szCs w:val="18"/>
                <w:color w:val="auto"/>
              </w:rPr>
              <w:t>348</w:t>
            </w:r>
          </w:p>
        </w:tc>
      </w:tr>
      <w:tr>
        <w:trPr>
          <w:trHeight w:val="230"/>
        </w:trPr>
        <w:tc>
          <w:tcPr>
            <w:tcW w:w="8460" w:type="dxa"/>
            <w:vAlign w:val="bottom"/>
            <w:shd w:val="clear" w:color="auto" w:fill="CFF0FC"/>
          </w:tcPr>
          <w:p>
            <w:pPr>
              <w:spacing w:after="0"/>
              <w:rPr>
                <w:sz w:val="20"/>
                <w:szCs w:val="20"/>
                <w:color w:val="auto"/>
              </w:rPr>
            </w:pPr>
            <w:r>
              <w:rPr>
                <w:rFonts w:ascii="Arial" w:cs="Arial" w:eastAsia="Arial" w:hAnsi="Arial"/>
                <w:sz w:val="18"/>
                <w:szCs w:val="18"/>
                <w:color w:val="auto"/>
              </w:rPr>
              <w:t>Leased assets obtained in exchange for operating lease liabilities arising from lease modifications</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38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2,440</w:t>
            </w:r>
          </w:p>
        </w:tc>
      </w:tr>
    </w:tbl>
    <w:p>
      <w:pPr>
        <w:spacing w:after="0" w:line="202"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As of January 31, 2021, the weighted average remaining lease term is 4.32 years, and the weighted average discount rate is 4.11 percent. Future minimum lease payments for the lease liabilities, excluding the Parma lease described above,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right="127"/>
              <w:spacing w:after="0"/>
              <w:rPr>
                <w:sz w:val="20"/>
                <w:szCs w:val="20"/>
                <w:color w:val="auto"/>
              </w:rPr>
            </w:pPr>
            <w:r>
              <w:rPr>
                <w:rFonts w:ascii="Arial" w:cs="Arial" w:eastAsia="Arial" w:hAnsi="Arial"/>
                <w:sz w:val="14"/>
                <w:szCs w:val="14"/>
                <w:b w:val="1"/>
                <w:bCs w:val="1"/>
                <w:color w:val="auto"/>
                <w:w w:val="91"/>
              </w:rPr>
              <w:t>As of</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62"/>
              <w:spacing w:after="0"/>
              <w:rPr>
                <w:sz w:val="20"/>
                <w:szCs w:val="20"/>
                <w:color w:val="auto"/>
              </w:rPr>
            </w:pPr>
            <w:r>
              <w:rPr>
                <w:rFonts w:ascii="Arial" w:cs="Arial" w:eastAsia="Arial" w:hAnsi="Arial"/>
                <w:sz w:val="14"/>
                <w:szCs w:val="14"/>
                <w:b w:val="1"/>
                <w:bCs w:val="1"/>
                <w:color w:val="auto"/>
                <w:w w:val="92"/>
              </w:rPr>
              <w:t>January 31, 2021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2"/>
          </w:tcPr>
          <w:p>
            <w:pPr>
              <w:jc w:val="center"/>
              <w:ind w:left="6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59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60"/>
              <w:spacing w:after="0"/>
              <w:rPr>
                <w:sz w:val="20"/>
                <w:szCs w:val="20"/>
                <w:color w:val="auto"/>
              </w:rPr>
            </w:pPr>
            <w:r>
              <w:rPr>
                <w:rFonts w:ascii="Arial" w:cs="Arial" w:eastAsia="Arial" w:hAnsi="Arial"/>
                <w:sz w:val="18"/>
                <w:szCs w:val="18"/>
                <w:color w:val="auto"/>
              </w:rPr>
              <w:t>2023</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5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60"/>
              <w:spacing w:after="0"/>
              <w:rPr>
                <w:sz w:val="20"/>
                <w:szCs w:val="20"/>
                <w:color w:val="auto"/>
              </w:rPr>
            </w:pPr>
            <w:r>
              <w:rPr>
                <w:rFonts w:ascii="Arial" w:cs="Arial" w:eastAsia="Arial" w:hAnsi="Arial"/>
                <w:sz w:val="18"/>
                <w:szCs w:val="18"/>
                <w:color w:val="auto"/>
              </w:rPr>
              <w:t>2025</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2026</w:t>
            </w:r>
          </w:p>
        </w:tc>
        <w:tc>
          <w:tcPr>
            <w:tcW w:w="5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future annual minimum lease payments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lease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Other Long-Term Liabilities</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6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gridSpan w:val="2"/>
          </w:tcPr>
          <w:p>
            <w:pPr>
              <w:ind w:left="520"/>
              <w:spacing w:after="0"/>
              <w:rPr>
                <w:sz w:val="20"/>
                <w:szCs w:val="20"/>
                <w:color w:val="auto"/>
              </w:rPr>
            </w:pPr>
            <w:r>
              <w:rPr>
                <w:rFonts w:ascii="Arial" w:cs="Arial" w:eastAsia="Arial" w:hAnsi="Arial"/>
                <w:sz w:val="18"/>
                <w:szCs w:val="18"/>
                <w:color w:val="auto"/>
                <w:w w:val="93"/>
              </w:rPr>
              <w:t>Other long-term liabilities at January 31, 2021 and 2020 consisted of the following:</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rPr>
              <w:t>As of January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91"/>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3"/>
          </w:tcPr>
          <w:p>
            <w:pPr>
              <w:jc w:val="right"/>
              <w:ind w:right="507"/>
              <w:spacing w:after="0" w:line="155"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08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118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Deferred tax liabilities, non-current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1,288</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other long-term liabilities</w:t>
            </w: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20" w:right="9380" w:hanging="489"/>
        <w:spacing w:after="0" w:line="453" w:lineRule="auto"/>
        <w:tabs>
          <w:tab w:leader="none" w:pos="303"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After completion of the Company’s initial public offering, or IPO in 2012, a total of 20,000,000 preference shares, with a $0.00045 par value per share, were authorized. There were no preference shares issued and outstanding as of January 31, 2021 and 2020,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January 31, 2021 and January 31, 2020, the following ordinary shares were reserved for future issuance under the EIP and ESPP:</w:t>
      </w:r>
    </w:p>
    <w:p>
      <w:pPr>
        <w:spacing w:after="0" w:line="309" w:lineRule="exact"/>
        <w:rPr>
          <w:sz w:val="20"/>
          <w:szCs w:val="20"/>
          <w:color w:val="auto"/>
        </w:rPr>
      </w:pPr>
    </w:p>
    <w:tbl>
      <w:tblPr>
        <w:tblLayout w:type="fixed"/>
        <w:tblInd w:w="13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As of January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8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 restricted stock units</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5,981,741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ind w:left="40"/>
              <w:spacing w:after="0"/>
              <w:rPr>
                <w:sz w:val="20"/>
                <w:szCs w:val="20"/>
                <w:color w:val="auto"/>
              </w:rPr>
            </w:pPr>
            <w:r>
              <w:rPr>
                <w:rFonts w:ascii="Arial" w:cs="Arial" w:eastAsia="Arial" w:hAnsi="Arial"/>
                <w:sz w:val="18"/>
                <w:szCs w:val="18"/>
                <w:color w:val="auto"/>
                <w:w w:val="89"/>
              </w:rPr>
              <w:t>6,045,108</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Shares reserved for employee stock purchase plan</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2,299,143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2,059,504</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22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On May 29, 2019, the Company’s Board of Directors authorized a program to repurchase up to $50.0 million of the Company’s ordinary shares commencing immediately through June 30, 2020. On March 16, 2020, the Company repurchased a total of 25,719 shares for approximately $1.0 million in cash. On May 29, 2020, the Board approved an extension of this program for an additional twelve months, ending June 30, 2021. Since the inception of the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January 31, 2021, there was $49.0 million available for repurchases under the repurchase program through June 30, 2021.</w:t>
      </w:r>
    </w:p>
    <w:p>
      <w:pPr>
        <w:spacing w:after="0" w:line="379" w:lineRule="exact"/>
        <w:rPr>
          <w:sz w:val="20"/>
          <w:szCs w:val="20"/>
          <w:color w:val="auto"/>
        </w:rPr>
      </w:pPr>
    </w:p>
    <w:p>
      <w:pPr>
        <w:ind w:left="520" w:right="7060" w:hanging="512"/>
        <w:spacing w:after="0" w:line="378" w:lineRule="auto"/>
        <w:tabs>
          <w:tab w:leader="none" w:pos="27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Benefits and Stock-based Compensation </w:t>
      </w:r>
      <w:r>
        <w:rPr>
          <w:rFonts w:ascii="Arial" w:cs="Arial" w:eastAsia="Arial" w:hAnsi="Arial"/>
          <w:sz w:val="18"/>
          <w:szCs w:val="18"/>
          <w:b w:val="1"/>
          <w:bCs w:val="1"/>
          <w:i w:val="1"/>
          <w:iCs w:val="1"/>
          <w:color w:val="auto"/>
        </w:rPr>
        <w:t>401(k) Plan</w:t>
      </w:r>
    </w:p>
    <w:p>
      <w:pPr>
        <w:ind w:firstLine="510"/>
        <w:spacing w:after="0" w:line="263" w:lineRule="auto"/>
        <w:rPr>
          <w:sz w:val="20"/>
          <w:szCs w:val="20"/>
          <w:color w:val="auto"/>
        </w:rPr>
      </w:pPr>
      <w:r>
        <w:rPr>
          <w:rFonts w:ascii="Arial" w:cs="Arial" w:eastAsia="Arial" w:hAnsi="Arial"/>
          <w:sz w:val="18"/>
          <w:szCs w:val="18"/>
          <w:color w:val="auto"/>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 has not had any matching contributions to date.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b w:val="1"/>
          <w:bCs w:val="1"/>
          <w:i w:val="1"/>
          <w:iCs w:val="1"/>
          <w:color w:val="auto"/>
        </w:rPr>
        <w:t xml:space="preserve">2004 Stock Plan. </w:t>
      </w:r>
      <w:r>
        <w:rPr>
          <w:rFonts w:ascii="Arial" w:cs="Arial" w:eastAsia="Arial" w:hAnsi="Arial"/>
          <w:sz w:val="16"/>
          <w:szCs w:val="16"/>
          <w:color w:val="auto"/>
        </w:rPr>
        <w:t>The 2004 Stock Plan provides for the grant of incentive stock options (“ISOs”) within the meaning of Section 422 of the Internal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Code of 1986, as amended (the “Code”), nonstatutory stock options (“NSOs”), stock purchase rights to acquire restricted stock and restricted stock units. Upon the completion of the IPO, no additional awards will be granted under the 2004 Plan and the 2004 Plan was terminated. However, all outstanding stock options and other awards previously granted under the 2004 Plan will remain subject to the terms of the 2004 Plan.</w:t>
      </w:r>
    </w:p>
    <w:p>
      <w:pPr>
        <w:spacing w:after="0" w:line="157"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b w:val="1"/>
          <w:bCs w:val="1"/>
          <w:i w:val="1"/>
          <w:iCs w:val="1"/>
          <w:color w:val="auto"/>
        </w:rPr>
        <w:t xml:space="preserve">2012 Equity Incentive Plan. </w:t>
      </w:r>
      <w:r>
        <w:rPr>
          <w:rFonts w:ascii="Arial" w:cs="Arial" w:eastAsia="Arial" w:hAnsi="Arial"/>
          <w:sz w:val="18"/>
          <w:szCs w:val="18"/>
          <w:color w:val="auto"/>
        </w:rPr>
        <w:t>The 2012 Equity Incentive Plan, or EIP, permits the grant of ISOs, within the meaning of Section 422 of the Code,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the Company and any of the Company’s subsidiary corporations, and the grant of NSOs, stock appreciation rights, restricted stock, restricted stock units, performance units, performance shares, deferred stock units and dividend equivalents to employees, directors and consultants of the Company and any of the Company’s subsidiary corporations’ employees and consultants.</w:t>
      </w:r>
    </w:p>
    <w:p>
      <w:pPr>
        <w:spacing w:after="0" w:line="187" w:lineRule="exact"/>
        <w:rPr>
          <w:sz w:val="20"/>
          <w:szCs w:val="20"/>
          <w:color w:val="auto"/>
        </w:rPr>
      </w:pPr>
    </w:p>
    <w:p>
      <w:pPr>
        <w:jc w:val="both"/>
        <w:ind w:right="300" w:firstLine="510"/>
        <w:spacing w:after="0" w:line="279" w:lineRule="auto"/>
        <w:rPr>
          <w:sz w:val="20"/>
          <w:szCs w:val="20"/>
          <w:color w:val="auto"/>
        </w:rPr>
      </w:pPr>
      <w:r>
        <w:rPr>
          <w:rFonts w:ascii="Arial" w:cs="Arial" w:eastAsia="Arial" w:hAnsi="Arial"/>
          <w:sz w:val="17"/>
          <w:szCs w:val="17"/>
          <w:color w:val="auto"/>
        </w:rPr>
        <w:t>The exercise price of ISOs granted to a holder of more than 10% of the voting power of all classes of the Company’s shares shall be no less than 110% of fair market value on the grant date. The exercise price of ISOs granted to other employees and NSOs shall be no less than 100% of fair market value on the grant date. Options granted under the Plan have a term of up to 10 years from grant date. Options granted to new employees generally vest 25% on the first anniversary service date of the grant and remainder vest ratably over the following 36 months.</w:t>
      </w:r>
    </w:p>
    <w:p>
      <w:pPr>
        <w:spacing w:after="0" w:line="17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Restricted stock and restricted stock units granted to new employees generally vest as to 1/4th of the shares on the first anniversary service date of the grant and 1/16th of the shares vest every 3 months thereafter, so as to be 100% vested on the fourth anniversary of the vesting commencement date.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6" w:name="page87"/>
    <w:bookmarkEnd w:id="86"/>
    <w:p>
      <w:pPr>
        <w:ind w:right="160" w:firstLine="510"/>
        <w:spacing w:after="0" w:line="255" w:lineRule="auto"/>
        <w:rPr>
          <w:sz w:val="20"/>
          <w:szCs w:val="20"/>
          <w:color w:val="auto"/>
        </w:rPr>
      </w:pPr>
      <w:r>
        <w:rPr>
          <w:rFonts w:ascii="Arial" w:cs="Arial" w:eastAsia="Arial" w:hAnsi="Arial"/>
          <w:sz w:val="18"/>
          <w:szCs w:val="18"/>
          <w:color w:val="auto"/>
        </w:rPr>
        <w:t>Vesting schedules for other service condition, market condition or performance condition awards vary and are subject to approval by the board of directors; provided that the performance condition associated awards shall not vest at all until the performance conditions are achieved and are subject to the award’s holders continuing to provide services to the Company through such vesting dates. The performance condition awards are automatically forfeited in their entirety, without any cost to or action by the Company, if there has been no achievement of the performance. The holders of restricted stock have voting power and other rights with respect to such shares, provided, however, that such shares are held in escrow and subject to forfeiture until the shares vested.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first quarter of fiscal year 2021 and 2020, the Company added 1,521,252 and 1,453,659 ordinary shares, respectively, to the ordinary shares reserved for issuance, pursuant to an “evergreen” provision contained in the EIP. Pursuant to such provision, on February 1st of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b w:val="1"/>
          <w:bCs w:val="1"/>
          <w:i w:val="1"/>
          <w:iCs w:val="1"/>
          <w:color w:val="auto"/>
        </w:rPr>
        <w:t xml:space="preserve">Amended and Restated 2012 Employee Stock Purchase Plan. </w:t>
      </w:r>
      <w:r>
        <w:rPr>
          <w:rFonts w:ascii="Arial" w:cs="Arial" w:eastAsia="Arial" w:hAnsi="Arial"/>
          <w:sz w:val="17"/>
          <w:szCs w:val="17"/>
          <w:color w:val="auto"/>
        </w:rPr>
        <w:t>The Amended and Restated 2012 Employee Stock Purchase Plan, or ESPP, permits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p>
    <w:p>
      <w:pPr>
        <w:spacing w:after="0" w:line="17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In the first quarter of fiscal year 2021 and 2020, the Company added 422,570 and 403,794 ordinary shares, respectively,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660" w:firstLine="8"/>
        <w:spacing w:after="0" w:line="260"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and one quarter percent (1.25%) of the aggregate number of ordinary shares outstanding on such date, or (iii) an amount determined by the Company’s Board of Directors or a duly authorized committee of the Board of Directors.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1,184</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37,432</w:t>
            </w:r>
          </w:p>
        </w:tc>
        <w:tc>
          <w:tcPr>
            <w:tcW w:w="8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22,119</w:t>
            </w:r>
          </w:p>
        </w:tc>
        <w:tc>
          <w:tcPr>
            <w:tcW w:w="8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70,134</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66,871</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For the twelve months ended January 31, 2021, approximately $4.4 million of stock-based compensation expense was accrued in accrued and other current liabilities in the consolidated balance sheets. As of January 31, 2021, total unrecognized compensation cost related to unvested stock options was $3.1 million and is expected to be recognized over a weighted-average period of 2.40 years. Total unrecognized compensation cost related to unvested restricted stock units was $123.9 million and is expected to be recognized over a weighted-average period of 2.35 years. The restricted stock awards were fully vested as of January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ind w:right="260" w:firstLine="51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the stock options and employee stock purchase plan awards for the periods indicated:</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 January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08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ind w:left="240"/>
              <w:spacing w:after="0"/>
              <w:rPr>
                <w:sz w:val="20"/>
                <w:szCs w:val="20"/>
                <w:color w:val="auto"/>
              </w:rPr>
            </w:pPr>
            <w:r>
              <w:rPr>
                <w:rFonts w:ascii="Arial" w:cs="Arial" w:eastAsia="Arial" w:hAnsi="Arial"/>
                <w:sz w:val="18"/>
                <w:szCs w:val="18"/>
                <w:color w:val="auto"/>
              </w:rPr>
              <w:t>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29"/>
        </w:trPr>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0.52%</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r>
      <w:tr>
        <w:trPr>
          <w:trHeight w:val="230"/>
        </w:trPr>
        <w:tc>
          <w:tcPr>
            <w:tcW w:w="5780" w:type="dxa"/>
            <w:vAlign w:val="bottom"/>
            <w:gridSpan w:val="2"/>
          </w:tcPr>
          <w:p>
            <w:pPr>
              <w:ind w:left="2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w w:val="96"/>
              </w:rPr>
              <w:t>5.78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Employee stock purchase plan awards: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29"/>
        </w:trPr>
        <w:tc>
          <w:tcPr>
            <w:tcW w:w="5780" w:type="dxa"/>
            <w:vAlign w:val="bottom"/>
            <w:gridSpan w:val="2"/>
          </w:tcPr>
          <w:p>
            <w:pPr>
              <w:ind w:left="240"/>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0.21%</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30"/>
        </w:trPr>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93"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Starting from fiscal year 2019, the Company calculates expected volatility for stock options based on its own historical stock price for a period commensurate with the expected term. In the prior fiscal year, the Company calculated expected volatility for stock options based on the weighted average of historical volatilities of its own stock price and the stock prices of similar companies that are publicly available for a period commensurate with the expected term. The Company calculates expected volatility for ESPP based on its own historical stock price for a period commensurate with the offering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activities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Option Outstanding</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Total Intrinsic</w:t>
            </w: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Value of</w:t>
            </w: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options</w:t>
            </w: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4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Grant-date</w:t>
            </w: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228"/>
        </w:trPr>
        <w:tc>
          <w:tcPr>
            <w:tcW w:w="47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2018</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1,611,344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116,600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(232,205)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(20,974)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Outstanding at January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(366,886)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13,263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(19,451)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1,124,646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51,200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59.54</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(421,736)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(23,349)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Outstanding at January 31, 2021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719,143</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4.42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40,358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January 31, 2021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592,729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3.56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35,092</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80" w:firstLine="564"/>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stock was $94.36 on January 29, 2021, as reported by The NASDAQ Global Market. The intrinsic value of exercised options is calculated based on the difference between the fair market value of the Company’s stock on the exercise date and the exercise price.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color w:val="auto"/>
        </w:rPr>
        <w:t>The following table summarizes restricted stock and restricted stock units activities for the periods indicated:</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2,103,281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1,367,751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(994,500)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(81,016)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53.57</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2,395,516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1,329,288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54.54</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(1,012,581)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(94,957)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2,617,266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1,499,203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53.45</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(1,162,883)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(81,785)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54.48</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2,871,801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Total fair value as of the respective vesting dates of restricted stock and restricted stock units vested for the fiscal years ended January 31, 2021, 2020 and 2019 was approximately $69.0 million, $52.1 million, and $42.9 million, respectively. As of January 31, 2021, the aggregate intrinsic value of unvested restricted stock units was $271.0 million.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loss per ordinary share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9"/>
          </w:tcPr>
          <w:p>
            <w:pPr>
              <w:jc w:val="center"/>
              <w:ind w:right="93"/>
              <w:spacing w:after="0" w:line="155"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(59,786)</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(44,792)</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(30,447)</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ordinary shares - basic</w:t>
            </w:r>
          </w:p>
        </w:tc>
        <w:tc>
          <w:tcPr>
            <w:tcW w:w="1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34,679,717</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33,083,562</w:t>
            </w:r>
          </w:p>
        </w:tc>
        <w:tc>
          <w:tcPr>
            <w:tcW w:w="2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32,713,606</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34,679,717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33,083,562</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32,713,606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Net loss per ordinary share:</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w:t>
            </w: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net loss per ordinary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January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2021</w:t>
            </w:r>
          </w:p>
        </w:tc>
        <w:tc>
          <w:tcPr>
            <w:tcW w:w="1280" w:type="dxa"/>
            <w:vAlign w:val="bottom"/>
            <w:gridSpan w:val="3"/>
          </w:tcPr>
          <w:p>
            <w:pPr>
              <w:jc w:val="right"/>
              <w:ind w:right="31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16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660,025</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913,678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1,190,607</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1,440,176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1,139,269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1,522,903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27,789</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8,530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2,127,990</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2,061,477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2,740,341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40" w:type="dxa"/>
            <w:vAlign w:val="bottom"/>
            <w:vMerge w:val="restart"/>
          </w:tcPr>
          <w:p>
            <w:pPr>
              <w:jc w:val="right"/>
              <w:ind w:right="670"/>
              <w:spacing w:after="0"/>
              <w:rPr>
                <w:sz w:val="20"/>
                <w:szCs w:val="20"/>
                <w:color w:val="auto"/>
              </w:rPr>
            </w:pPr>
            <w:r>
              <w:rPr>
                <w:rFonts w:ascii="Arial" w:cs="Arial" w:eastAsia="Arial" w:hAnsi="Arial"/>
                <w:sz w:val="18"/>
                <w:szCs w:val="18"/>
                <w:color w:val="auto"/>
              </w:rPr>
              <w:t>89</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income taxes consisted of the following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3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operations</w:t>
            </w:r>
          </w:p>
        </w:tc>
        <w:tc>
          <w:tcPr>
            <w:tcW w:w="19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Non-U.S. operations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(57,311)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(42,473)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(35,933)</w:t>
            </w:r>
          </w:p>
        </w:tc>
      </w:tr>
      <w:tr>
        <w:trPr>
          <w:trHeight w:val="223"/>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provision (benefit) consisted of the following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U.S. federal tax</w:t>
            </w:r>
          </w:p>
        </w:tc>
        <w:tc>
          <w:tcPr>
            <w:tcW w:w="1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Non-U.S. foreign taxes</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 tax</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(7,077)</w:t>
            </w: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U.S. state taxes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Non-U.S. foreign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(6,958)</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Provision (benefit) for income taxes</w:t>
            </w: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consists of a Cayman Islands parent company with various foreign and U.S. Subsidiaries. Effective December 31, 2019, the Company has structured its activities to comply with the International Tax Co-Operation (Economic Substance) Law, 2018 in the Cayman Islands. As part of the new structure, the Company is the general partner of a Canadian limited partnership, the ultimate beneficial owner, and is allocated all of the earnings of the partnership. The primary jurisdiction where our foreign earnings are derived is the Cayman Islands, where the Company is domiciled. Under the current laws of the Cayman Islands, the Company is not subject to tax on its income. For purposes of the reconciliation between the provision (benefit) for income taxes at the statutory rate and the effective tax rate, a notional U.S. 21% rate is applied to pretax income (loss) as a result of the following for the periods indicated, respectively:</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at U.S. notional statutory rate</w:t>
            </w:r>
          </w:p>
        </w:tc>
        <w:tc>
          <w:tcPr>
            <w:tcW w:w="1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(12,034)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(8,742)</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(7,256)</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U.S. state taxes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Non-U.S. foreign tax differential</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9,226</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4,715</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U.S. R&amp;D credit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(3,928)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(3,109)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(2,770)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(7,990)</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b w:val="1"/>
                <w:bCs w:val="1"/>
                <w:color w:val="auto"/>
              </w:rPr>
              <w:t>Provision (benefit) for income taxes</w:t>
            </w:r>
          </w:p>
        </w:tc>
        <w:tc>
          <w:tcPr>
            <w:tcW w:w="1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On December 22, 2017, </w:t>
      </w:r>
      <w:r>
        <w:rPr>
          <w:rFonts w:ascii="Arial" w:cs="Arial" w:eastAsia="Arial" w:hAnsi="Arial"/>
          <w:sz w:val="18"/>
          <w:szCs w:val="18"/>
          <w:color w:val="212529"/>
        </w:rPr>
        <w:t>the Tax Cuts and Jobs Act (the “Tax Act”) was enacted into law in the United States. The tax legislation contains several</w:t>
      </w:r>
      <w:r>
        <w:rPr>
          <w:rFonts w:ascii="Arial" w:cs="Arial" w:eastAsia="Arial" w:hAnsi="Arial"/>
          <w:sz w:val="18"/>
          <w:szCs w:val="18"/>
          <w:color w:val="auto"/>
        </w:rPr>
        <w:t xml:space="preserve"> </w:t>
      </w:r>
      <w:r>
        <w:rPr>
          <w:rFonts w:ascii="Arial" w:cs="Arial" w:eastAsia="Arial" w:hAnsi="Arial"/>
          <w:sz w:val="18"/>
          <w:szCs w:val="18"/>
          <w:color w:val="212529"/>
        </w:rPr>
        <w:t>provisions that impacted the Company, including the reduction of the corporate income tax rate from 35% to 21%, acceleration of business asset expensing, and a reduction in the amount of executive pay that may qualify as a tax deduction, among others. The income tax benefit recorded for the fiscal year ended January 31, 2019 includes the impact of the Tax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ind w:right="60" w:firstLine="510"/>
        <w:spacing w:after="0" w:line="271" w:lineRule="auto"/>
        <w:rPr>
          <w:sz w:val="20"/>
          <w:szCs w:val="20"/>
          <w:color w:val="auto"/>
        </w:rPr>
      </w:pPr>
      <w:r>
        <w:rPr>
          <w:rFonts w:ascii="Arial" w:cs="Arial" w:eastAsia="Arial" w:hAnsi="Arial"/>
          <w:sz w:val="17"/>
          <w:szCs w:val="17"/>
          <w:color w:val="auto"/>
        </w:rPr>
        <w:t xml:space="preserve">On March 27, 2020, the Coronavirus Aid, Relief, and Economic Security Act (“CARES Act”), P.L. 116-136, was passed into law, amending portions of certain relevant US tax laws. The CARES Act includes a number of federal income tax law changes, including, but not limited to: 1) permitting net operating loss carrybacks to offset 100% of taxable income for taxable years beginning before 2021, 2) accelerating alternative minimum tax credit refunds, 3) temporarily increasing the allowable business interest deduction from 30% to 50% of adjusted taxable income, and 4) providing a technical correction for depreciation related to qualified improvement property. The CARES Act also provides for an Employee Retention Credit, a fully refundable payroll tax credit for certain eligible employers, and the ability for all eligible employers to defer payment of the employer share of payroll taxes owed on wages paid for the period ending December 31, 2020. </w:t>
      </w:r>
      <w:r>
        <w:rPr>
          <w:rFonts w:ascii="Arial" w:cs="Arial" w:eastAsia="Arial" w:hAnsi="Arial"/>
          <w:sz w:val="17"/>
          <w:szCs w:val="17"/>
          <w:color w:val="212529"/>
        </w:rPr>
        <w:t>The Company evaluated the impact of the CARES Act and does not expect it will have a material</w:t>
      </w:r>
      <w:r>
        <w:rPr>
          <w:rFonts w:ascii="Arial" w:cs="Arial" w:eastAsia="Arial" w:hAnsi="Arial"/>
          <w:sz w:val="17"/>
          <w:szCs w:val="17"/>
          <w:color w:val="auto"/>
        </w:rPr>
        <w:t xml:space="preserve"> </w:t>
      </w:r>
      <w:r>
        <w:rPr>
          <w:rFonts w:ascii="Arial" w:cs="Arial" w:eastAsia="Arial" w:hAnsi="Arial"/>
          <w:sz w:val="17"/>
          <w:szCs w:val="17"/>
          <w:color w:val="212529"/>
        </w:rPr>
        <w:t>impact on the Company’s condensed consolidated financial statements.</w:t>
      </w:r>
    </w:p>
    <w:p>
      <w:pPr>
        <w:spacing w:after="0" w:line="1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Temporary differences that gave rise to significant portions of the Company’s deferred tax assets and liabilities at January 31, 2021 and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7"/>
          </w:tcPr>
          <w:p>
            <w:pPr>
              <w:jc w:val="right"/>
              <w:ind w:right="1130"/>
              <w:spacing w:after="0"/>
              <w:rPr>
                <w:sz w:val="20"/>
                <w:szCs w:val="20"/>
                <w:color w:val="auto"/>
              </w:rPr>
            </w:pPr>
            <w:r>
              <w:rPr>
                <w:rFonts w:ascii="Arial" w:cs="Arial" w:eastAsia="Arial" w:hAnsi="Arial"/>
                <w:sz w:val="14"/>
                <w:szCs w:val="14"/>
                <w:b w:val="1"/>
                <w:bCs w:val="1"/>
                <w:color w:val="auto"/>
              </w:rPr>
              <w:t>As of January 31,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Federal and state credits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24,394</w:t>
            </w:r>
          </w:p>
        </w:tc>
        <w:tc>
          <w:tcPr>
            <w:tcW w:w="18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21,275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Expenses not currently deductible</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deferred</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Gross deferred tax assets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27,226</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740"/>
              <w:spacing w:after="0"/>
              <w:rPr>
                <w:sz w:val="20"/>
                <w:szCs w:val="20"/>
                <w:color w:val="auto"/>
              </w:rPr>
            </w:pPr>
            <w:r>
              <w:rPr>
                <w:rFonts w:ascii="Arial" w:cs="Arial" w:eastAsia="Arial" w:hAnsi="Arial"/>
                <w:sz w:val="18"/>
                <w:szCs w:val="18"/>
                <w:b w:val="1"/>
                <w:bCs w:val="1"/>
                <w:color w:val="auto"/>
              </w:rPr>
              <w:t>Valuation allowance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(17,962)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(14,670)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deferred tax assets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Deferred tax liabilities</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480"/>
              <w:spacing w:after="0"/>
              <w:rPr>
                <w:sz w:val="20"/>
                <w:szCs w:val="20"/>
                <w:color w:val="auto"/>
              </w:rPr>
            </w:pPr>
            <w:r>
              <w:rPr>
                <w:rFonts w:ascii="Arial" w:cs="Arial" w:eastAsia="Arial" w:hAnsi="Arial"/>
                <w:sz w:val="18"/>
                <w:szCs w:val="18"/>
                <w:color w:val="auto"/>
              </w:rPr>
              <w:t>Operating lease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(1,978)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ind w:left="520"/>
              <w:spacing w:after="0"/>
              <w:rPr>
                <w:sz w:val="20"/>
                <w:szCs w:val="20"/>
                <w:color w:val="auto"/>
              </w:rPr>
            </w:pPr>
            <w:r>
              <w:rPr>
                <w:rFonts w:ascii="Arial" w:cs="Arial" w:eastAsia="Arial" w:hAnsi="Arial"/>
                <w:sz w:val="18"/>
                <w:szCs w:val="18"/>
                <w:color w:val="auto"/>
              </w:rPr>
              <w:t>Tax valuation allowance for the periods indicated below were as follows:</w:t>
            </w: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8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4"/>
          </w:tcPr>
          <w:p>
            <w:pPr>
              <w:jc w:val="center"/>
              <w:ind w:left="18"/>
              <w:spacing w:after="0"/>
              <w:rPr>
                <w:sz w:val="20"/>
                <w:szCs w:val="20"/>
                <w:color w:val="auto"/>
              </w:rPr>
            </w:pPr>
            <w:r>
              <w:rPr>
                <w:rFonts w:ascii="Arial" w:cs="Arial" w:eastAsia="Arial" w:hAnsi="Arial"/>
                <w:sz w:val="14"/>
                <w:szCs w:val="14"/>
                <w:b w:val="1"/>
                <w:bCs w:val="1"/>
                <w:color w:val="auto"/>
                <w:w w:val="92"/>
              </w:rPr>
              <w:t>Additions</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Balance at</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30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94"/>
              </w:rPr>
              <w:t>Charged to</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Beginning of</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90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or Other</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130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89"/>
              </w:rPr>
              <w:t>Account</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center"/>
              <w:ind w:left="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Valuation Allowance</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Year ended January 31, 2021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9"/>
              <w:spacing w:after="0"/>
              <w:rPr>
                <w:sz w:val="20"/>
                <w:szCs w:val="20"/>
                <w:color w:val="auto"/>
              </w:rPr>
            </w:pPr>
            <w:r>
              <w:rPr>
                <w:rFonts w:ascii="Arial" w:cs="Arial" w:eastAsia="Arial" w:hAnsi="Arial"/>
                <w:sz w:val="18"/>
                <w:szCs w:val="18"/>
                <w:color w:val="auto"/>
              </w:rPr>
              <w:t>14,670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3,292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January 31, 2020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12,526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Year ended January 31, 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9"/>
              <w:spacing w:after="0"/>
              <w:rPr>
                <w:sz w:val="20"/>
                <w:szCs w:val="20"/>
                <w:color w:val="auto"/>
              </w:rPr>
            </w:pPr>
            <w:r>
              <w:rPr>
                <w:rFonts w:ascii="Arial" w:cs="Arial" w:eastAsia="Arial" w:hAnsi="Arial"/>
                <w:sz w:val="18"/>
                <w:szCs w:val="18"/>
                <w:color w:val="auto"/>
              </w:rPr>
              <w:t>18,538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1,978</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conducts its business in several countries and regions and is subject to taxation in those jurisdictions. The Company is incorporated in the Cayman Islands with foreign subsidiaries in the U.S.,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2021 would be $12.4 million. Cumulative undistributed earnings of foreign subsidiaries for which no deferred taxes have been provided approximated $85.1 million at January 31,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right="160" w:firstLine="510"/>
        <w:spacing w:after="0" w:line="263" w:lineRule="auto"/>
        <w:rPr>
          <w:sz w:val="20"/>
          <w:szCs w:val="20"/>
          <w:color w:val="auto"/>
        </w:rPr>
      </w:pPr>
      <w:r>
        <w:rPr>
          <w:rFonts w:ascii="Arial" w:cs="Arial" w:eastAsia="Arial" w:hAnsi="Arial"/>
          <w:sz w:val="18"/>
          <w:szCs w:val="18"/>
          <w:color w:val="auto"/>
        </w:rPr>
        <w:t>As of January 31, 2021 and 2020, the Company had deferred tax assets (net of deferred tax liabilities) before valuation allowance, of $27.6 million and $23.8 million, respectively. The Company assesses whether a valuation allowance should be established against its deferred tax assets based on the consideration of all available evidence, using a “more likely than not” standard.</w:t>
      </w:r>
    </w:p>
    <w:p>
      <w:pPr>
        <w:spacing w:after="0" w:line="184" w:lineRule="exact"/>
        <w:rPr>
          <w:sz w:val="20"/>
          <w:szCs w:val="20"/>
          <w:color w:val="auto"/>
        </w:rPr>
      </w:pPr>
    </w:p>
    <w:p>
      <w:pPr>
        <w:ind w:right="800" w:firstLine="510"/>
        <w:spacing w:after="0" w:line="263" w:lineRule="auto"/>
        <w:rPr>
          <w:sz w:val="20"/>
          <w:szCs w:val="20"/>
          <w:color w:val="auto"/>
        </w:rPr>
      </w:pPr>
      <w:r>
        <w:rPr>
          <w:rFonts w:ascii="Arial" w:cs="Arial" w:eastAsia="Arial" w:hAnsi="Arial"/>
          <w:sz w:val="18"/>
          <w:szCs w:val="18"/>
          <w:color w:val="auto"/>
        </w:rPr>
        <w:t>The Company has $2.7 million of California net operating loss carryforwards as of January 31, 2021. The California net operating loss carryforwards begin to expire in fiscal year 2036, if not utilized. For financial statement purposes these carry forwards are offset by uncertain tax positions.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also has Federal and California state research and development credit carryforwards of approximately $22.4 million and $27.1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million, respectively, at January 31, 2021. The Federal credits begin to expire in fiscal year 2035. The California credits can be carried forward indefinitely.</w:t>
      </w:r>
    </w:p>
    <w:p>
      <w:pPr>
        <w:spacing w:after="0" w:line="200" w:lineRule="exact"/>
        <w:rPr>
          <w:sz w:val="20"/>
          <w:szCs w:val="20"/>
          <w:color w:val="auto"/>
        </w:rPr>
      </w:pPr>
    </w:p>
    <w:p>
      <w:pPr>
        <w:spacing w:after="0" w:line="250"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The Company reports its U.S. state deferred tax assets and related valuation allowance, net of the U.S federal tax rate of 21%. As of January 31, 2021, the Company has recorded a valuation allowance of $18.0 million against all of its U.S. state deferred tax assets due to uncertainty regarding the future utilization of these deferred tax assets.</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Utilization of the research credit carryforwards may be subject to an annual limitation due to the ownership percentage change limitations as defined by the U.S. Internal Revenue Code Section 382, as amended, and similar state provisions. The annual limitation may result in the expiration of the U.S. Federal and state research credit carryforwards before utilization. The Company does not expect any tax credit carryforwards to expire as a result of a Section 382 limitation.</w:t>
      </w:r>
    </w:p>
    <w:p>
      <w:pPr>
        <w:spacing w:after="0" w:line="18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The Company applies the provisions of FASB’s guidance on accounting for uncertainty in income taxes. As of January 31, 2021, the Company had approximately $27.3 million in unrecognized tax benefits, $21.4 million of which would affect the Company’s effective tax rate if recognized. </w:t>
      </w:r>
      <w:r>
        <w:rPr>
          <w:rFonts w:ascii="Arial" w:cs="Arial" w:eastAsia="Arial" w:hAnsi="Arial"/>
          <w:sz w:val="18"/>
          <w:szCs w:val="18"/>
          <w:color w:val="212529"/>
        </w:rPr>
        <w:t>The</w:t>
      </w:r>
      <w:r>
        <w:rPr>
          <w:rFonts w:ascii="Arial" w:cs="Arial" w:eastAsia="Arial" w:hAnsi="Arial"/>
          <w:sz w:val="18"/>
          <w:szCs w:val="18"/>
          <w:color w:val="auto"/>
        </w:rPr>
        <w:t xml:space="preserve"> </w:t>
      </w:r>
      <w:r>
        <w:rPr>
          <w:rFonts w:ascii="Arial" w:cs="Arial" w:eastAsia="Arial" w:hAnsi="Arial"/>
          <w:sz w:val="18"/>
          <w:szCs w:val="18"/>
          <w:color w:val="212529"/>
        </w:rPr>
        <w:t xml:space="preserve">remainder of the unrecognized tax benefits would not affect the effective tax rate due to the full valuation recorded for state deferred tax assets. </w:t>
      </w:r>
      <w:r>
        <w:rPr>
          <w:rFonts w:ascii="Arial" w:cs="Arial" w:eastAsia="Arial" w:hAnsi="Arial"/>
          <w:sz w:val="18"/>
          <w:szCs w:val="18"/>
          <w:color w:val="000000"/>
        </w:rPr>
        <w:t>The</w:t>
      </w:r>
      <w:r>
        <w:rPr>
          <w:rFonts w:ascii="Arial" w:cs="Arial" w:eastAsia="Arial" w:hAnsi="Arial"/>
          <w:sz w:val="18"/>
          <w:szCs w:val="18"/>
          <w:color w:val="212529"/>
        </w:rPr>
        <w:t xml:space="preserve"> </w:t>
      </w:r>
      <w:r>
        <w:rPr>
          <w:rFonts w:ascii="Arial" w:cs="Arial" w:eastAsia="Arial" w:hAnsi="Arial"/>
          <w:sz w:val="18"/>
          <w:szCs w:val="18"/>
          <w:color w:val="000000"/>
        </w:rPr>
        <w:t>following table sets forth a reconciliation of the beginning and ending amount of unrecognized tax benefits: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balance:</w:t>
            </w:r>
          </w:p>
        </w:tc>
        <w:tc>
          <w:tcPr>
            <w:tcW w:w="10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34,117</w:t>
            </w:r>
          </w:p>
        </w:tc>
        <w:tc>
          <w:tcPr>
            <w:tcW w:w="80" w:type="dxa"/>
            <w:vAlign w:val="bottom"/>
            <w:shd w:val="clear" w:color="auto" w:fill="CFF0FC"/>
          </w:tcPr>
          <w:p>
            <w:pPr>
              <w:spacing w:after="0"/>
              <w:rPr>
                <w:sz w:val="19"/>
                <w:szCs w:val="19"/>
                <w:color w:val="auto"/>
              </w:rPr>
            </w:pPr>
          </w:p>
        </w:tc>
      </w:tr>
      <w:tr>
        <w:trPr>
          <w:trHeight w:val="215"/>
        </w:trPr>
        <w:tc>
          <w:tcPr>
            <w:tcW w:w="444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the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current year</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3,922</w:t>
            </w:r>
          </w:p>
        </w:tc>
        <w:tc>
          <w:tcPr>
            <w:tcW w:w="80" w:type="dxa"/>
            <w:vAlign w:val="bottom"/>
          </w:tcPr>
          <w:p>
            <w:pPr>
              <w:spacing w:after="0"/>
              <w:rPr>
                <w:sz w:val="20"/>
                <w:szCs w:val="20"/>
                <w:color w:val="auto"/>
              </w:rPr>
            </w:pPr>
          </w:p>
        </w:tc>
      </w:tr>
      <w:tr>
        <w:trPr>
          <w:trHeight w:val="229"/>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Reductions for tax positions in prior years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for prior periods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Lapse of applicable statute of limitations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Company classified $7.9 million and $7.5 million of income tax liabilities as other long-term liabilities as of January 31, 2021 and 2020, respectively, because payment of cash or settlement is not anticipated within one year from the balance sheet date.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as a component of income tax expense. The Company recorded $283,000 and $358,000 and $263,000 of interest expense and penalties related to uncertain tax positions for the fiscal years ended January 31, 2021, 2020 and 2019, respectively. The Company recorded noncurrent liabilities of $1,043,000 and $760,000 related to interest and penalties for uncertain tax positions at January 31, 2021 and 2020, respectively.</w:t>
      </w:r>
    </w:p>
    <w:p>
      <w:pPr>
        <w:spacing w:after="0" w:line="18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primary jurisdiction where our foreign earnings are derived is the Cayman Islands, where the Company is domiciled. The Company files income tax returns in the U.S. federal jurisdiction as well as many U.S. state and foreign jurisdictions. The Internal Revenue Service is currently examining the Company’s U.S. federal income tax return for the fiscal year ended January 31, 2017. The tax years 2013 to 2020 remain open to examination by U.S. federal tax authorities. The tax years 2009 to 2020 remain open to examination by U.S. state tax authorities. The tax years 2015 to 2020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right="40" w:firstLine="510"/>
        <w:spacing w:after="0" w:line="254" w:lineRule="auto"/>
        <w:rPr>
          <w:sz w:val="20"/>
          <w:szCs w:val="20"/>
          <w:color w:val="auto"/>
        </w:rPr>
      </w:pPr>
      <w:r>
        <w:rPr>
          <w:rFonts w:ascii="Arial" w:cs="Arial" w:eastAsia="Arial" w:hAnsi="Arial"/>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During the fiscal year ended January 31, 2021, the gross amount of unrecognized tax benefits decreased by $15.4 million to $27.3 million. The decrease was primarily due to changes to our uncertain tax positions from adjustments arising from tax return filings based on our ongoing exam with the Internal Revenue Service.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January 31, 2021, the Company’s long-term income taxes payable, including estimated interest and penalties, was approximately $9.0 million. The Company was unable to make a reasonably reliable estimate of the timing of payments in individual years due to uncertainties in the timing of tax audits, if any, or their outcomes.</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On July 27, 2015, the United States Tax Court issued a decision (“Tax Court Decision”) in </w:t>
      </w:r>
      <w:r>
        <w:rPr>
          <w:rFonts w:ascii="Arial" w:cs="Arial" w:eastAsia="Arial" w:hAnsi="Arial"/>
          <w:sz w:val="16"/>
          <w:szCs w:val="16"/>
          <w:i w:val="1"/>
          <w:iCs w:val="1"/>
          <w:color w:val="auto"/>
        </w:rPr>
        <w:t>Altera Corp. v. Commissioner</w:t>
      </w:r>
      <w:r>
        <w:rPr>
          <w:rFonts w:ascii="Arial" w:cs="Arial" w:eastAsia="Arial" w:hAnsi="Arial"/>
          <w:sz w:val="16"/>
          <w:szCs w:val="16"/>
          <w:color w:val="auto"/>
        </w:rPr>
        <w:t>, which concluded that related parties in a cost sharing arrangement are not required to share expenses related to share-based compensation. The Tax Court Decision was appealed by the Commissioner to the Ninth Circuit Court of Appeals (“Ninth Circuit”). On June 7, 2019, the Ninth Circuit issued an opinion that reversed the Tax Court Decision. On July 22, 2019, the taxpayer requested a rehearing before the full Ninth Circuit and the request was denied on November 12, 2019. On February 10, 2020, the taxpayer filed a petition to appeal the decision with the Supreme Court of the United States which was denied on June 22, 2020. The denial of the request by the Supreme Court did not have a material impact to the Company’s provision for income taxes.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only upon the agreement between the Company and the third-party. As of January 31, 2021 and 2020, total manufacturing purchase commitments were approximately $48.2 million and $35.9 million, respectively.</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on the consolidated balance sheets as of January 31, 2021 and 2020,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121"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3" w:name="page94"/>
    <w:bookmarkEnd w:id="93"/>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139,327</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137,946</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132,199</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Asia Pacific</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66,981</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18,244</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7,028</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80" w:type="dxa"/>
            <w:vAlign w:val="bottom"/>
            <w:shd w:val="clear" w:color="auto" w:fill="CFF0FC"/>
          </w:tcPr>
          <w:p>
            <w:pPr>
              <w:spacing w:after="0"/>
              <w:rPr>
                <w:sz w:val="19"/>
                <w:szCs w:val="19"/>
                <w:color w:val="auto"/>
              </w:rPr>
            </w:pPr>
          </w:p>
        </w:tc>
      </w:tr>
      <w:tr>
        <w:trPr>
          <w:trHeight w:val="223"/>
        </w:trPr>
        <w:tc>
          <w:tcPr>
            <w:tcW w:w="408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222,990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227,768</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Substantially all of the Company’s property and equipment were located in the United States, Asia Pacific region and Europe. As of January 31, 2021, the net amount of these fixed assets located in these regions was approximate $2.0 million, $2.4 million and $1.1 million, respectively. As of January 31, 2020, the net amount of these fixed assets located in these regions was approximately $1.7 million, $2.8million and $1.1 million, respectively.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customers representing 10% or more of revenue and accounts receivable for the fiscal year ended January 31, 2021 were Wintech and Chicony which accounted for approximately 63% and 16% of total revenue, respectively. For the fiscal year ended January 31, 2020, the customers representing 10% or more of revenue and accounts receivable were Wintech and Chicony which accounted for approximately 60% and 18% of total revenue, respectively. For the fiscal year ended January 31, 2019, the customers representing 10% or more of revenue and accounts receivables were Wintech and Chicony which accounted for approximately 58% and 16% of total revenue, respectively. Accounts receivable from Wintech and Chicony accounted for approximately $12.0 million and $8.6 million as of January 31, 2021, respectively. Accounts receivable from Wintech and Chicony accounted for approximately $3.8 million and $10.8 million as of January 31, 2020, respectively.</w:t>
      </w:r>
    </w:p>
    <w:p>
      <w:pPr>
        <w:spacing w:after="0" w:line="200" w:lineRule="exact"/>
        <w:rPr>
          <w:sz w:val="20"/>
          <w:szCs w:val="20"/>
          <w:color w:val="auto"/>
        </w:rPr>
      </w:pPr>
    </w:p>
    <w:p>
      <w:pPr>
        <w:spacing w:after="0" w:line="2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gridSpan w:val="23"/>
          </w:tcPr>
          <w:p>
            <w:pPr>
              <w:jc w:val="center"/>
              <w:ind w:right="472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342"/>
        </w:trPr>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20"/>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54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4"/>
                <w:szCs w:val="24"/>
                <w:color w:val="auto"/>
              </w:rPr>
            </w:pPr>
          </w:p>
        </w:tc>
        <w:tc>
          <w:tcPr>
            <w:tcW w:w="9800" w:type="dxa"/>
            <w:vAlign w:val="bottom"/>
            <w:tcBorders>
              <w:top w:val="single" w:sz="8" w:color="auto"/>
              <w:bottom w:val="single" w:sz="8" w:color="0000EE"/>
            </w:tcBorders>
            <w:gridSpan w:val="2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Quota Purchase Agreement, dated as of June 25, 2015, by and among the Registrant, the University of Parma, Alberto Broggi, Massimo</w:t>
              </w:r>
            </w:hyperlink>
          </w:p>
        </w:tc>
        <w:tc>
          <w:tcPr>
            <w:tcW w:w="10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Bertozzi, Paolo Grisler, Pietro Cerri, Rean Fedriga, Paolo Medici, Luca Bombini, Stefano Cattani, Mirko Felisa, Pier Paolo Porta, and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Paolo Zani.</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480" w:type="dxa"/>
            <w:vAlign w:val="bottom"/>
            <w:tcBorders>
              <w:bottom w:val="single" w:sz="8" w:color="0000EE"/>
            </w:tcBorders>
            <w:gridSpan w:val="26"/>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Memorandum of Association and Second Amended and Restated Articles of Association of Ambarella, Inc.</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4.1(11)</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r:id="rId118">
              <w:r>
                <w:rPr>
                  <w:rFonts w:ascii="Arial" w:cs="Arial" w:eastAsia="Arial" w:hAnsi="Arial"/>
                  <w:sz w:val="18"/>
                  <w:szCs w:val="18"/>
                  <w:color w:val="0000EE"/>
                </w:rPr>
                <w:t>Description of Share Capital of Ambarella, Inc.</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10.1.1(2)*</w:t>
            </w:r>
          </w:p>
        </w:tc>
        <w:tc>
          <w:tcPr>
            <w:tcW w:w="200" w:type="dxa"/>
            <w:vAlign w:val="bottom"/>
          </w:tcPr>
          <w:p>
            <w:pPr>
              <w:spacing w:after="0"/>
              <w:rPr>
                <w:sz w:val="24"/>
                <w:szCs w:val="24"/>
                <w:color w:val="auto"/>
              </w:rPr>
            </w:pPr>
          </w:p>
        </w:tc>
        <w:tc>
          <w:tcPr>
            <w:tcW w:w="3400" w:type="dxa"/>
            <w:vAlign w:val="bottom"/>
            <w:tcBorders>
              <w:top w:val="single" w:sz="8" w:color="0000EE"/>
            </w:tcBorders>
            <w:gridSpan w:val="9"/>
          </w:tcPr>
          <w:p>
            <w:pPr>
              <w:spacing w:after="0"/>
              <w:rPr>
                <w:rFonts w:ascii="Arial" w:cs="Arial" w:eastAsia="Arial" w:hAnsi="Arial"/>
                <w:sz w:val="18"/>
                <w:szCs w:val="18"/>
                <w:color w:val="0000EE"/>
              </w:rPr>
            </w:pPr>
            <w:hyperlink r:id="rId119">
              <w:r>
                <w:rPr>
                  <w:rFonts w:ascii="Arial" w:cs="Arial" w:eastAsia="Arial" w:hAnsi="Arial"/>
                  <w:sz w:val="18"/>
                  <w:szCs w:val="18"/>
                  <w:color w:val="0000EE"/>
                </w:rPr>
                <w:t>Amended and Restated 2004 Stock Plan</w:t>
              </w:r>
            </w:hyperlink>
          </w:p>
        </w:tc>
        <w:tc>
          <w:tcPr>
            <w:tcW w:w="65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10.1.2(3)*</w:t>
            </w:r>
          </w:p>
        </w:tc>
        <w:tc>
          <w:tcPr>
            <w:tcW w:w="200" w:type="dxa"/>
            <w:vAlign w:val="bottom"/>
          </w:tcPr>
          <w:p>
            <w:pPr>
              <w:spacing w:after="0"/>
              <w:rPr>
                <w:sz w:val="24"/>
                <w:szCs w:val="24"/>
                <w:color w:val="auto"/>
              </w:rPr>
            </w:pPr>
          </w:p>
        </w:tc>
        <w:tc>
          <w:tcPr>
            <w:tcW w:w="5820" w:type="dxa"/>
            <w:vAlign w:val="bottom"/>
            <w:tcBorders>
              <w:bottom w:val="single" w:sz="8" w:color="0000EE"/>
            </w:tcBorders>
            <w:gridSpan w:val="16"/>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Form of Stock Option Agreement under Amended and Restated 2004 Stock Plan</w:t>
              </w:r>
            </w:hyperlink>
          </w:p>
        </w:tc>
        <w:tc>
          <w:tcPr>
            <w:tcW w:w="40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10.1.3(2)*</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r:id="rId121">
              <w:r>
                <w:rPr>
                  <w:rFonts w:ascii="Arial" w:cs="Arial" w:eastAsia="Arial" w:hAnsi="Arial"/>
                  <w:sz w:val="18"/>
                  <w:szCs w:val="18"/>
                  <w:color w:val="0000EE"/>
                </w:rPr>
                <w:t>Form of Restricted Stock Unit Award Agreement under Amended and Restated 2004 Stock Plan</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10.2.1(4)*</w:t>
            </w:r>
          </w:p>
        </w:tc>
        <w:tc>
          <w:tcPr>
            <w:tcW w:w="200" w:type="dxa"/>
            <w:vAlign w:val="bottom"/>
          </w:tcPr>
          <w:p>
            <w:pPr>
              <w:spacing w:after="0"/>
              <w:rPr>
                <w:sz w:val="24"/>
                <w:szCs w:val="24"/>
                <w:color w:val="auto"/>
              </w:rPr>
            </w:pPr>
          </w:p>
        </w:tc>
        <w:tc>
          <w:tcPr>
            <w:tcW w:w="6920" w:type="dxa"/>
            <w:vAlign w:val="bottom"/>
            <w:tcBorders>
              <w:top w:val="single" w:sz="8" w:color="0000EE"/>
            </w:tcBorders>
            <w:gridSpan w:val="19"/>
          </w:tcPr>
          <w:p>
            <w:pPr>
              <w:spacing w:after="0"/>
              <w:rPr>
                <w:rFonts w:ascii="Arial" w:cs="Arial" w:eastAsia="Arial" w:hAnsi="Arial"/>
                <w:sz w:val="18"/>
                <w:szCs w:val="18"/>
                <w:color w:val="0000EE"/>
              </w:rPr>
            </w:pPr>
            <w:hyperlink r:id="rId122">
              <w:r>
                <w:rPr>
                  <w:rFonts w:ascii="Arial" w:cs="Arial" w:eastAsia="Arial" w:hAnsi="Arial"/>
                  <w:sz w:val="18"/>
                  <w:szCs w:val="18"/>
                  <w:color w:val="0000EE"/>
                </w:rPr>
                <w:t>Amended and Restated 2012 Equity Incentive Plan</w:t>
              </w:r>
            </w:hyperlink>
          </w:p>
        </w:tc>
        <w:tc>
          <w:tcPr>
            <w:tcW w:w="29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10.2.2(2)*</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Stock Option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10.2.3(2)*</w:t>
            </w:r>
          </w:p>
        </w:tc>
        <w:tc>
          <w:tcPr>
            <w:tcW w:w="200" w:type="dxa"/>
            <w:vAlign w:val="bottom"/>
          </w:tcPr>
          <w:p>
            <w:pPr>
              <w:spacing w:after="0"/>
              <w:rPr>
                <w:sz w:val="24"/>
                <w:szCs w:val="24"/>
                <w:color w:val="auto"/>
              </w:rPr>
            </w:pPr>
          </w:p>
        </w:tc>
        <w:tc>
          <w:tcPr>
            <w:tcW w:w="5120" w:type="dxa"/>
            <w:vAlign w:val="bottom"/>
            <w:tcBorders>
              <w:bottom w:val="single" w:sz="8" w:color="0000EE"/>
            </w:tcBorders>
            <w:gridSpan w:val="14"/>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Restricted Stock Agreement under 2012 Equity Incentive Plan</w:t>
              </w:r>
            </w:hyperlink>
          </w:p>
        </w:tc>
        <w:tc>
          <w:tcPr>
            <w:tcW w:w="47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10.2.4(2)*</w:t>
            </w:r>
          </w:p>
        </w:tc>
        <w:tc>
          <w:tcPr>
            <w:tcW w:w="200" w:type="dxa"/>
            <w:vAlign w:val="bottom"/>
          </w:tcPr>
          <w:p>
            <w:pPr>
              <w:spacing w:after="0"/>
              <w:rPr>
                <w:sz w:val="24"/>
                <w:szCs w:val="24"/>
                <w:color w:val="auto"/>
              </w:rPr>
            </w:pPr>
          </w:p>
        </w:tc>
        <w:tc>
          <w:tcPr>
            <w:tcW w:w="5480" w:type="dxa"/>
            <w:vAlign w:val="bottom"/>
            <w:tcBorders>
              <w:bottom w:val="single" w:sz="8" w:color="0000EE"/>
            </w:tcBorders>
            <w:gridSpan w:val="15"/>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Form of Restricted Stock Unit Agreement under 2012 Equity Incentive Plan</w:t>
              </w:r>
            </w:hyperlink>
          </w:p>
        </w:tc>
        <w:tc>
          <w:tcPr>
            <w:tcW w:w="44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10.2.5(4)*</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Form of Performance-Based Restricted Stock Unit Agreement under 2012 Equity Incentive Plan</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Amended and Restated 2012 Employee Stock Purchase Plan</w:t>
              </w:r>
            </w:hyperlink>
          </w:p>
        </w:tc>
        <w:tc>
          <w:tcPr>
            <w:tcW w:w="2580" w:type="dxa"/>
            <w:vAlign w:val="bottom"/>
            <w:tcBorders>
              <w:top w:val="single" w:sz="8" w:color="0000EE"/>
            </w:tcBorders>
            <w:gridSpan w:val="8"/>
          </w:tcPr>
          <w:p>
            <w:pPr>
              <w:spacing w:after="0"/>
              <w:rPr>
                <w:sz w:val="24"/>
                <w:szCs w:val="24"/>
                <w:color w:val="auto"/>
              </w:rPr>
            </w:pPr>
          </w:p>
        </w:tc>
        <w:tc>
          <w:tcPr>
            <w:tcW w:w="2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Form of Indemnification Agreement</w:t>
              </w:r>
            </w:hyperlink>
          </w:p>
        </w:tc>
        <w:tc>
          <w:tcPr>
            <w:tcW w:w="728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10.5(7)*</w:t>
            </w:r>
          </w:p>
        </w:tc>
        <w:tc>
          <w:tcPr>
            <w:tcW w:w="200" w:type="dxa"/>
            <w:vAlign w:val="bottom"/>
          </w:tcPr>
          <w:p>
            <w:pPr>
              <w:spacing w:after="0"/>
              <w:rPr>
                <w:sz w:val="24"/>
                <w:szCs w:val="24"/>
                <w:color w:val="auto"/>
              </w:rPr>
            </w:pPr>
          </w:p>
        </w:tc>
        <w:tc>
          <w:tcPr>
            <w:tcW w:w="6960" w:type="dxa"/>
            <w:vAlign w:val="bottom"/>
            <w:tcBorders>
              <w:bottom w:val="single" w:sz="8" w:color="0000EE"/>
            </w:tcBorders>
            <w:gridSpan w:val="21"/>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Offer Letter entered into by Ambarella Corp. with Kevin C. “Casey” Eichler dated July 26, 2018</w:t>
              </w:r>
            </w:hyperlink>
          </w:p>
        </w:tc>
        <w:tc>
          <w:tcPr>
            <w:tcW w:w="29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10.6.1(3)*</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Form of Change of Control and Severance Agreement, entered into by Ambarella, Inc. with the Chief Executive Officer, Chief Financial</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Officer and Chief Technology Officer</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10.6.2(7)*</w:t>
            </w:r>
          </w:p>
        </w:tc>
        <w:tc>
          <w:tcPr>
            <w:tcW w:w="200" w:type="dxa"/>
            <w:vAlign w:val="bottom"/>
          </w:tcPr>
          <w:p>
            <w:pPr>
              <w:spacing w:after="0"/>
              <w:rPr>
                <w:sz w:val="24"/>
                <w:szCs w:val="24"/>
                <w:color w:val="auto"/>
              </w:rPr>
            </w:pPr>
          </w:p>
        </w:tc>
        <w:tc>
          <w:tcPr>
            <w:tcW w:w="9640" w:type="dxa"/>
            <w:vAlign w:val="bottom"/>
            <w:tcBorders>
              <w:bottom w:val="single" w:sz="8" w:color="0000EE"/>
            </w:tcBorders>
            <w:gridSpan w:val="27"/>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Form of Amended and Restated Change of Control and Severance Agreement, entered into by Ambarella, Inc. with executive officers</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other than the Chief Executive Officer, Chief Financial Officer and Chief Technology Officer</w:t>
              </w:r>
            </w:hyperlink>
          </w:p>
        </w:tc>
        <w:tc>
          <w:tcPr>
            <w:tcW w:w="31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10.7.7(8)*</w:t>
            </w:r>
          </w:p>
        </w:tc>
        <w:tc>
          <w:tcPr>
            <w:tcW w:w="20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Description of Executive Bonus Plan for Fiscal Year 2020</w:t>
              </w:r>
            </w:hyperlink>
          </w:p>
        </w:tc>
        <w:tc>
          <w:tcPr>
            <w:tcW w:w="57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10.7.8(12)*</w:t>
            </w:r>
          </w:p>
        </w:tc>
        <w:tc>
          <w:tcPr>
            <w:tcW w:w="20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Description of Executive Bonus Plan for Fiscal Year 2021</w:t>
              </w:r>
            </w:hyperlink>
          </w:p>
        </w:tc>
        <w:tc>
          <w:tcPr>
            <w:tcW w:w="57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10.8.1(5)</w:t>
            </w:r>
          </w:p>
        </w:tc>
        <w:tc>
          <w:tcPr>
            <w:tcW w:w="200" w:type="dxa"/>
            <w:vAlign w:val="bottom"/>
          </w:tcPr>
          <w:p>
            <w:pPr>
              <w:spacing w:after="0"/>
              <w:rPr>
                <w:sz w:val="24"/>
                <w:szCs w:val="24"/>
                <w:color w:val="auto"/>
              </w:rPr>
            </w:pPr>
          </w:p>
        </w:tc>
        <w:tc>
          <w:tcPr>
            <w:tcW w:w="8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Sales Representative Agreement dated January 31, 2011 by and between Ambarella, Inc. and WT Microelectronics Co., Ltd.</w:t>
              </w:r>
            </w:hyperlink>
          </w:p>
        </w:tc>
        <w:tc>
          <w:tcPr>
            <w:tcW w:w="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10.8.2(5)</w:t>
            </w:r>
          </w:p>
        </w:tc>
        <w:tc>
          <w:tcPr>
            <w:tcW w:w="200" w:type="dxa"/>
            <w:vAlign w:val="bottom"/>
          </w:tcPr>
          <w:p>
            <w:pPr>
              <w:spacing w:after="0"/>
              <w:rPr>
                <w:sz w:val="24"/>
                <w:szCs w:val="24"/>
                <w:color w:val="auto"/>
              </w:rPr>
            </w:pPr>
          </w:p>
        </w:tc>
        <w:tc>
          <w:tcPr>
            <w:tcW w:w="8260" w:type="dxa"/>
            <w:vAlign w:val="bottom"/>
            <w:tcBorders>
              <w:bottom w:val="single" w:sz="8" w:color="0000EE"/>
            </w:tcBorders>
            <w:gridSpan w:val="23"/>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Amendment No. 1 to Sales Representative Agreement dated February 1, 2012 by and between Ambarella, Inc. and</w:t>
              </w:r>
            </w:hyperlink>
          </w:p>
        </w:tc>
        <w:tc>
          <w:tcPr>
            <w:tcW w:w="1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WT Microelectronics Co., Ltd.</w:t>
              </w:r>
            </w:hyperlink>
          </w:p>
        </w:tc>
        <w:tc>
          <w:tcPr>
            <w:tcW w:w="76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10.8.3(6)</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r:id="rId136">
              <w:r>
                <w:rPr>
                  <w:rFonts w:ascii="Arial" w:cs="Arial" w:eastAsia="Arial" w:hAnsi="Arial"/>
                  <w:sz w:val="18"/>
                  <w:szCs w:val="18"/>
                  <w:color w:val="0000EE"/>
                </w:rPr>
                <w:t>Amendment No. 2 to Sales Representative Agreement dated October 1, 2012 by and between Ambarella, Inc.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WT Microelectronics Co., Ltd.</w:t>
              </w:r>
            </w:hyperlink>
          </w:p>
        </w:tc>
        <w:tc>
          <w:tcPr>
            <w:tcW w:w="5960" w:type="dxa"/>
            <w:vAlign w:val="bottom"/>
            <w:tcBorders>
              <w:top w:val="single" w:sz="8" w:color="0000EE"/>
            </w:tcBorders>
            <w:gridSpan w:val="19"/>
          </w:tcPr>
          <w:p>
            <w:pPr>
              <w:spacing w:after="0"/>
              <w:rPr>
                <w:sz w:val="17"/>
                <w:szCs w:val="17"/>
                <w:color w:val="auto"/>
              </w:rPr>
            </w:pPr>
          </w:p>
        </w:tc>
        <w:tc>
          <w:tcPr>
            <w:tcW w:w="1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10.8.4(1)</w:t>
            </w:r>
          </w:p>
        </w:tc>
        <w:tc>
          <w:tcPr>
            <w:tcW w:w="200" w:type="dxa"/>
            <w:vAlign w:val="bottom"/>
          </w:tcPr>
          <w:p>
            <w:pPr>
              <w:spacing w:after="0"/>
              <w:rPr>
                <w:sz w:val="24"/>
                <w:szCs w:val="24"/>
                <w:color w:val="auto"/>
              </w:rPr>
            </w:pPr>
          </w:p>
        </w:tc>
        <w:tc>
          <w:tcPr>
            <w:tcW w:w="9880" w:type="dxa"/>
            <w:vAlign w:val="bottom"/>
            <w:tcBorders>
              <w:bottom w:val="single" w:sz="8" w:color="0000EE"/>
            </w:tcBorders>
            <w:gridSpan w:val="31"/>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Amendment to the Sales Representative Agreement dated August 1, 2015 by and between Ambarella, Inc. and WT Microelectronics Co.,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Ltd.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10.8.5(9)</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Amendment to the Sales Representative Agreement dated June 1, 2019 by and between Ambarella, Inc. and WT Microelectronics Co.,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Ltd.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10.9.1(10)</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7"/>
              </w:rPr>
            </w:pPr>
            <w:hyperlink r:id="rId139">
              <w:r>
                <w:rPr>
                  <w:rFonts w:ascii="Arial" w:cs="Arial" w:eastAsia="Arial" w:hAnsi="Arial"/>
                  <w:sz w:val="18"/>
                  <w:szCs w:val="18"/>
                  <w:color w:val="0000EE"/>
                  <w:w w:val="97"/>
                </w:rPr>
                <w:t>Standard Lease between Ambarella Corporation and The Realty Associates Fund XI Portfolio, L.P., dated as of August 8, 2019</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21.1(11)</w:t>
            </w:r>
          </w:p>
        </w:tc>
        <w:tc>
          <w:tcPr>
            <w:tcW w:w="200" w:type="dxa"/>
            <w:vAlign w:val="bottom"/>
          </w:tcPr>
          <w:p>
            <w:pPr>
              <w:spacing w:after="0"/>
              <w:rPr>
                <w:sz w:val="24"/>
                <w:szCs w:val="24"/>
                <w:color w:val="auto"/>
              </w:rPr>
            </w:pPr>
          </w:p>
        </w:tc>
        <w:tc>
          <w:tcPr>
            <w:tcW w:w="9140" w:type="dxa"/>
            <w:vAlign w:val="bottom"/>
            <w:tcBorders>
              <w:top w:val="single" w:sz="8" w:color="0000EE"/>
            </w:tcBorders>
            <w:gridSpan w:val="25"/>
          </w:tcPr>
          <w:p>
            <w:pPr>
              <w:spacing w:after="0"/>
              <w:rPr>
                <w:rFonts w:ascii="Arial" w:cs="Arial" w:eastAsia="Arial" w:hAnsi="Arial"/>
                <w:sz w:val="18"/>
                <w:szCs w:val="18"/>
                <w:color w:val="0000EE"/>
              </w:rPr>
            </w:pPr>
            <w:hyperlink r:id="rId140">
              <w:r>
                <w:rPr>
                  <w:rFonts w:ascii="Arial" w:cs="Arial" w:eastAsia="Arial" w:hAnsi="Arial"/>
                  <w:sz w:val="18"/>
                  <w:szCs w:val="18"/>
                  <w:color w:val="0000EE"/>
                </w:rPr>
                <w:t>List of subsidiaries of Ambarella, Inc.</w:t>
              </w:r>
            </w:hyperlink>
          </w:p>
        </w:tc>
        <w:tc>
          <w:tcPr>
            <w:tcW w:w="7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35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4"/>
                <w:szCs w:val="24"/>
                <w:color w:val="auto"/>
              </w:rPr>
            </w:pPr>
          </w:p>
        </w:tc>
        <w:tc>
          <w:tcPr>
            <w:tcW w:w="6360" w:type="dxa"/>
            <w:vAlign w:val="bottom"/>
            <w:tcBorders>
              <w:top w:val="single" w:sz="8" w:color="0000EE"/>
            </w:tcBorders>
            <w:gridSpan w:val="1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Power of Attorney (included in signature page)</w:t>
              </w:r>
            </w:hyperlink>
          </w:p>
        </w:tc>
        <w:tc>
          <w:tcPr>
            <w:tcW w:w="3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top w:val="single" w:sz="8" w:color="0000EE"/>
            </w:tcBorders>
            <w:gridSpan w:val="8"/>
          </w:tcPr>
          <w:p>
            <w:pPr>
              <w:spacing w:after="0"/>
              <w:rPr>
                <w:sz w:val="24"/>
                <w:szCs w:val="24"/>
                <w:color w:val="auto"/>
              </w:rPr>
            </w:pPr>
          </w:p>
        </w:tc>
        <w:tc>
          <w:tcPr>
            <w:tcW w:w="1500" w:type="dxa"/>
            <w:vAlign w:val="bottom"/>
            <w:gridSpan w:val="5"/>
          </w:tcPr>
          <w:p>
            <w:pPr>
              <w:jc w:val="right"/>
              <w:ind w:right="428"/>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9720" w:type="dxa"/>
            <w:vAlign w:val="bottom"/>
            <w:gridSpan w:val="6"/>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Certification of Principal Executive Officer Required Under Rule 13a-14(a) and 15d-14(a) of the Securities Exchange Act of 1934, as</w:t>
              </w:r>
            </w:hyperlink>
          </w:p>
        </w:tc>
      </w:tr>
      <w:tr>
        <w:trPr>
          <w:trHeight w:val="196"/>
        </w:trPr>
        <w:tc>
          <w:tcPr>
            <w:tcW w:w="13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amended</w:t>
              </w:r>
            </w:hyperlink>
          </w:p>
        </w:tc>
        <w:tc>
          <w:tcPr>
            <w:tcW w:w="896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95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12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amended</w:t>
              </w:r>
            </w:hyperlink>
          </w:p>
        </w:tc>
      </w:tr>
      <w:tr>
        <w:trPr>
          <w:trHeight w:val="20"/>
        </w:trPr>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r>
      <w:tr>
        <w:trPr>
          <w:trHeight w:val="317"/>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Certification of Principal Executive Officer and Principal Financial Officer Required Under Rule 13a-14(b) of the Securities Exchange</w:t>
              </w:r>
            </w:hyperlink>
          </w:p>
        </w:tc>
      </w:tr>
      <w:tr>
        <w:trPr>
          <w:trHeight w:val="196"/>
        </w:trPr>
        <w:tc>
          <w:tcPr>
            <w:tcW w:w="1300" w:type="dxa"/>
            <w:vAlign w:val="bottom"/>
          </w:tcPr>
          <w:p>
            <w:pPr>
              <w:spacing w:after="0"/>
              <w:rPr>
                <w:sz w:val="17"/>
                <w:szCs w:val="17"/>
                <w:color w:val="auto"/>
              </w:rPr>
            </w:pPr>
          </w:p>
        </w:tc>
        <w:tc>
          <w:tcPr>
            <w:tcW w:w="34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Act of 1934, as amended, and 18 U.S.C. §1350</w:t>
              </w:r>
            </w:hyperlink>
          </w:p>
        </w:tc>
        <w:tc>
          <w:tcPr>
            <w:tcW w:w="6320" w:type="dxa"/>
            <w:vAlign w:val="bottom"/>
            <w:gridSpan w:val="3"/>
          </w:tcPr>
          <w:p>
            <w:pPr>
              <w:spacing w:after="0"/>
              <w:rPr>
                <w:sz w:val="17"/>
                <w:szCs w:val="17"/>
                <w:color w:val="auto"/>
              </w:rPr>
            </w:pPr>
          </w:p>
        </w:tc>
      </w:tr>
      <w:tr>
        <w:trPr>
          <w:trHeight w:val="344"/>
        </w:trPr>
        <w:tc>
          <w:tcPr>
            <w:tcW w:w="130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6"/>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30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337"/>
        </w:trPr>
        <w:tc>
          <w:tcPr>
            <w:tcW w:w="130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spacing w:after="0" w:line="107" w:lineRule="exact"/>
        <w:rPr>
          <w:sz w:val="20"/>
          <w:szCs w:val="20"/>
          <w:color w:val="auto"/>
        </w:rPr>
      </w:pPr>
    </w:p>
    <w:p>
      <w:pPr>
        <w:ind w:left="1300" w:right="340" w:hanging="129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fiscal year ended January 31, 2021,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429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6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September 8, 2015.</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S-1/A (No. 333-174838) filed on September 13, 2012.</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S-1 (No. 333-174838) filed on June 10, 2011.</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30,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S-1/A (No. 333-174838) filed on September 26,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S-1/A (No. 333-174838) filed on October 5,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September 7,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6,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September 6,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December 6,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27,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4, 2021.</w:t>
      </w:r>
    </w:p>
    <w:p>
      <w:pPr>
        <w:spacing w:after="0" w:line="200" w:lineRule="exact"/>
        <w:rPr>
          <w:sz w:val="20"/>
          <w:szCs w:val="20"/>
          <w:color w:val="auto"/>
        </w:rPr>
      </w:pPr>
    </w:p>
    <w:p>
      <w:pPr>
        <w:spacing w:after="0" w:line="227"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23" w:lineRule="exact"/>
        <w:rPr>
          <w:sz w:val="20"/>
          <w:szCs w:val="20"/>
          <w:color w:val="auto"/>
        </w:rPr>
      </w:pPr>
    </w:p>
    <w:p>
      <w:pPr>
        <w:ind w:left="500" w:hanging="492"/>
        <w:spacing w:after="0" w:line="25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3" w:right="4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31, 2021.</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AMBARELLA, INC.</w:t>
      </w:r>
    </w:p>
    <w:p>
      <w:pPr>
        <w:spacing w:after="0" w:line="25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 Eichler</w:t>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Kevin C. Eichler,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-95885</wp:posOffset>
            </wp:positionV>
            <wp:extent cx="3282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Kevin C. Eichler as his true and lawful agent, proxy and attorney-in-fact, with full power of substitution and resubstitution, for him and in his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March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7" w:name="page98"/>
    <w:bookmarkEnd w:id="97"/>
    <w:p>
      <w:pPr>
        <w:spacing w:after="0" w:line="6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wp:posOffset>
            </wp:positionV>
            <wp:extent cx="3197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Feng-Ming Wang</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Kevin C. Eichler</w:t>
      </w:r>
    </w:p>
    <w:p>
      <w:pPr>
        <w:spacing w:after="0" w:line="2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Leslie D.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Leslie D. Kohn</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Chenming C. Hu</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/s/ Christopher B. Paisley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31972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Christopher B. Paisley</w:t>
      </w:r>
    </w:p>
    <w:p>
      <w:pPr>
        <w:spacing w:after="0" w:line="2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D. Jeffrey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D. Jeffrey Richardson</w:t>
      </w:r>
    </w:p>
    <w:p>
      <w:pPr>
        <w:spacing w:after="0" w:line="2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Hsiao-Wuen 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Hsiao-Wuen Hon</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Andrew W. Verhalen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197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Andrew W. Verhalen</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Teresa H Meng</w:t>
      </w:r>
    </w:p>
    <w:p>
      <w:pPr>
        <w:spacing w:after="0" w:line="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Teresa H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3197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 Elizabeth M. Schwarting</w:t>
      </w:r>
    </w:p>
    <w:p>
      <w:pPr>
        <w:spacing w:after="0" w:line="5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Elizabeth M. Schwarting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3197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3857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73" w:lineRule="exact"/>
        <w:rPr>
          <w:sz w:val="20"/>
          <w:szCs w:val="20"/>
          <w:color w:val="auto"/>
        </w:rPr>
      </w:pPr>
    </w:p>
    <w:p>
      <w:pPr>
        <w:ind w:right="1160"/>
        <w:spacing w:after="0" w:line="342" w:lineRule="auto"/>
        <w:rPr>
          <w:sz w:val="20"/>
          <w:szCs w:val="20"/>
          <w:color w:val="auto"/>
        </w:rPr>
      </w:pPr>
      <w:r>
        <w:rPr>
          <w:rFonts w:ascii="Arial" w:cs="Arial" w:eastAsia="Arial" w:hAnsi="Arial"/>
          <w:sz w:val="16"/>
          <w:szCs w:val="16"/>
          <w:color w:val="auto"/>
        </w:rPr>
        <w:t>President, Chief Executive Officer, Executive Chairman and Director (Principal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and Accounting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Chief Technical Officer and 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98</w:t>
      </w:r>
    </w:p>
    <w:p>
      <w:pPr>
        <w:sectPr>
          <w:pgSz w:w="11900" w:h="16838" w:orient="portrait"/>
          <w:cols w:equalWidth="0" w:num="2">
            <w:col w:w="3340" w:space="720"/>
            <w:col w:w="4960"/>
          </w:cols>
          <w:pgMar w:left="1440" w:top="576" w:right="1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333-184506, 333-187730, 333-195078, 333-203094, 333-210405, 333-217037, 333-224052, 333-230603, and 333-237439) of Ambarella, Inc. of our report dated March 31,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Feng-Ming Wang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Kevin C. Eichler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Annual Report of Ambarella, Inc. on Form 10-K for the fiscal year ended January 31, 2021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Annual Report of Ambarella, Inc. on Form 10-K for the fiscal year ended January 31, 2021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lvl w:ilvl="1">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Roman"/>
      <w:start w:val="3"/>
    </w:lvl>
  </w:abstractNum>
  <w:abstractNum w:abstractNumId="25">
    <w:nsid w:val="22221A70"/>
    <w:multiLevelType w:val="hybridMultilevel"/>
    <w:lvl w:ilvl="0">
      <w:lvlJc w:val="left"/>
      <w:lvlText w:val="(%1)"/>
      <w:numFmt w:val="lowerRoman"/>
      <w:start w:val="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0"/>
    </w:lvl>
  </w:abstractNum>
  <w:abstractNum w:abstractNumId="31">
    <w:nsid w:val="440BADFC"/>
    <w:multiLevelType w:val="hybridMultilevel"/>
    <w:lvl w:ilvl="0">
      <w:lvlJc w:val="left"/>
      <w:lvlText w:val="%1."/>
      <w:numFmt w:val="decimal"/>
      <w:start w:val="11"/>
    </w:lvl>
  </w:abstractNum>
  <w:abstractNum w:abstractNumId="32">
    <w:nsid w:val="5072367"/>
    <w:multiLevelType w:val="hybridMultilevel"/>
    <w:lvl w:ilvl="0">
      <w:lvlJc w:val="left"/>
      <w:lvlText w:val="(%1)"/>
      <w:numFmt w:val="lowerRoman"/>
      <w:start w:val="2"/>
    </w:lvl>
  </w:abstractNum>
  <w:abstractNum w:abstractNumId="33">
    <w:nsid w:val="3804823E"/>
    <w:multiLevelType w:val="hybridMultilevel"/>
    <w:lvl w:ilvl="0">
      <w:lvlJc w:val="left"/>
      <w:lvlText w:val="%1"/>
      <w:numFmt w:val="decimal"/>
      <w:start w:val="104"/>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16" Type="http://schemas.openxmlformats.org/officeDocument/2006/relationships/hyperlink" Target="http://www.sec.gov/Archives/edgar/data/0001280263/000156459015007784/amba-ex21_193.htm" TargetMode="External"/><Relationship Id="rId117" Type="http://schemas.openxmlformats.org/officeDocument/2006/relationships/hyperlink" Target="http://www.sec.gov/Archives/edgar/data/0001280263/000119312512389774/d193541dex32.htm" TargetMode="External"/><Relationship Id="rId118" Type="http://schemas.openxmlformats.org/officeDocument/2006/relationships/hyperlink" Target="http://www.sec.gov/Archives/edgar/data/1280263/000156459020013513/amba-ex41_146.htm" TargetMode="External"/><Relationship Id="rId119" Type="http://schemas.openxmlformats.org/officeDocument/2006/relationships/hyperlink" Target="http://www.sec.gov/Archives/edgar/data/0001280263/000119312512389774/d193541dex1011.htm" TargetMode="External"/><Relationship Id="rId120" Type="http://schemas.openxmlformats.org/officeDocument/2006/relationships/hyperlink" Target="http://www.sec.gov/Archives/edgar/data/0001280263/000119312511162978/dex1012.htm" TargetMode="External"/><Relationship Id="rId121" Type="http://schemas.openxmlformats.org/officeDocument/2006/relationships/hyperlink" Target="http://www.sec.gov/Archives/edgar/data/0001280263/000119312512389774/d193541dex1013.htm" TargetMode="External"/><Relationship Id="rId122" Type="http://schemas.openxmlformats.org/officeDocument/2006/relationships/hyperlink" Target="http://www.sec.gov/Archives/edgar/data/0001280263/000156459017005590/amba-ex1021_529.htm" TargetMode="External"/><Relationship Id="rId123" Type="http://schemas.openxmlformats.org/officeDocument/2006/relationships/hyperlink" Target="http://www.sec.gov/Archives/edgar/data/0001280263/000119312512389774/d193541dex1022.htm" TargetMode="External"/><Relationship Id="rId124" Type="http://schemas.openxmlformats.org/officeDocument/2006/relationships/hyperlink" Target="http://www.sec.gov/Archives/edgar/data/0001280263/000119312512389774/d193541dex1023.htm" TargetMode="External"/><Relationship Id="rId125" Type="http://schemas.openxmlformats.org/officeDocument/2006/relationships/hyperlink" Target="http://www.sec.gov/Archives/edgar/data/0001280263/000119312512389774/d193541dex1024.htm" TargetMode="External"/><Relationship Id="rId126" Type="http://schemas.openxmlformats.org/officeDocument/2006/relationships/hyperlink" Target="http://www.sec.gov/Archives/edgar/data/0001280263/000156459017005590/amba-ex1025_629.htm" TargetMode="External"/><Relationship Id="rId127" Type="http://schemas.openxmlformats.org/officeDocument/2006/relationships/hyperlink" Target="http://www.sec.gov/Archives/edgar/data/0001280263/000156459015007784/amba-ex101_178.htm" TargetMode="External"/><Relationship Id="rId128" Type="http://schemas.openxmlformats.org/officeDocument/2006/relationships/hyperlink" Target="http://www.sec.gov/Archives/edgar/data/0001280263/000119312512389774/d193541dex104.htm" TargetMode="External"/><Relationship Id="rId129" Type="http://schemas.openxmlformats.org/officeDocument/2006/relationships/hyperlink" Target="http://www.sec.gov/Archives/edgar/data/0001280263/000156459018022808/amba-ex102_88.htm" TargetMode="External"/><Relationship Id="rId130" Type="http://schemas.openxmlformats.org/officeDocument/2006/relationships/hyperlink" Target="http://www.sec.gov/Archives/edgar/data/0001280263/000119312511162978/dex1061.htm" TargetMode="External"/><Relationship Id="rId131" Type="http://schemas.openxmlformats.org/officeDocument/2006/relationships/hyperlink" Target="http://www.sec.gov/Archives/edgar/data/0001280263/000156459018022808/amba-ex103_89.htm" TargetMode="External"/><Relationship Id="rId132" Type="http://schemas.openxmlformats.org/officeDocument/2006/relationships/hyperlink" Target="http://www.sec.gov/Archives/edgar/data/1280263/000119312519065744/d679867d8k.htm" TargetMode="External"/><Relationship Id="rId133" Type="http://schemas.openxmlformats.org/officeDocument/2006/relationships/hyperlink" Target="https://www.sec.gov/ix?doc=/Archives/edgar/data/1280263/000119312521069678/d149839d8k.htm" TargetMode="External"/><Relationship Id="rId134" Type="http://schemas.openxmlformats.org/officeDocument/2006/relationships/hyperlink" Target="http://www.sec.gov/Archives/edgar/data/0001280263/000119312512405005/d193541dex1081.htm" TargetMode="External"/><Relationship Id="rId135" Type="http://schemas.openxmlformats.org/officeDocument/2006/relationships/hyperlink" Target="http://www.sec.gov/Archives/edgar/data/0001280263/000119312512405005/d193541dex1082.htm" TargetMode="External"/><Relationship Id="rId136" Type="http://schemas.openxmlformats.org/officeDocument/2006/relationships/hyperlink" Target="http://www.sec.gov/Archives/edgar/data/0001280263/000119312512416751/d193541dex1083.htm" TargetMode="External"/><Relationship Id="rId137" Type="http://schemas.openxmlformats.org/officeDocument/2006/relationships/hyperlink" Target="http://www.sec.gov/Archives/edgar/data/0001280263/000156459015007784/amba-ex102_192.htm" TargetMode="External"/><Relationship Id="rId138" Type="http://schemas.openxmlformats.org/officeDocument/2006/relationships/hyperlink" Target="http://www.sec.gov/Archives/edgar/data/1280263/000156459019034237/amba-ex101_195.htm" TargetMode="External"/><Relationship Id="rId139" Type="http://schemas.openxmlformats.org/officeDocument/2006/relationships/hyperlink" Target="http://www.sec.gov/Archives/edgar/data/1280263/000156459019045444/amba-ex101_152.htm" TargetMode="External"/><Relationship Id="rId140" Type="http://schemas.openxmlformats.org/officeDocument/2006/relationships/hyperlink" Target="http://www.sec.gov/Archives/edgar/data/1280263/000156459020013513/amba-ex211_2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2021-03-31T13:16:03Z</dcterms:created>
  <dcterms:modified xsi:type="dcterms:W3CDTF">2021-03-31T13:16:03Z</dcterms:modified>
</cp:coreProperties>
</file>