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0001189229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AMBARELLA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3001 TASMAN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408-734-8888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PAISLEY CHRISTOPHER B</w:t>
      </w:r>
    </w:p>
    <w:p>
      <w:pPr>
        <w:spacing w:after="0" w:line="56"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15502.50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43868185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250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Today's sale occurred in the account of the Paisley Living Trust of which Christopher B. Paisley is a trustee.</w:t>
      </w:r>
    </w:p>
    <w:p>
      <w:pPr>
        <w:spacing w:after="0"/>
        <w:rPr>
          <w:sz w:val="20"/>
          <w:szCs w:val="20"/>
          <w:color w:val="auto"/>
        </w:rPr>
      </w:pPr>
      <w:r>
        <w:rPr>
          <w:rFonts w:ascii="Times New Roman" w:cs="Times New Roman" w:eastAsia="Times New Roman" w:hAnsi="Times New Roman"/>
          <w:sz w:val="22"/>
          <w:szCs w:val="22"/>
          <w:color w:val="auto"/>
        </w:rPr>
        <w:t>06/26/2026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09/22/2025</w:t>
      </w:r>
    </w:p>
    <w:p>
      <w:pPr>
        <w:spacing w:after="0" w:line="612"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1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Services LLC, as attorney-in-fact for Christopher B. Paisley</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2026-06-26T08:48:15Z</dcterms:created>
  <dcterms:modified xsi:type="dcterms:W3CDTF">2026-06-26T08:48:15Z</dcterms:modified>
</cp:coreProperties>
</file>