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amba-20260731.htm"/>
      <w:bookmarkStart w:id="1" w:name="ksamba20260731"/>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July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For the transition period from to </w:t>
      </w:r>
      <w:r>
        <w:rPr>
          <w:rFonts w:ascii="Times New Roman" w:hAnsi="Times New Roman"/>
          <w:b/>
          <w:color w:val="000000"/>
          <w:sz w:val="20"/>
          <w:u w:val="single"/>
        </w:rPr>
        <w:t>______</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001-35667</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AMBARELLA,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521" w:type="dxa"/>
        <w:jc w:val="left"/>
        <w:tblInd w:w="0" w:type="dxa"/>
        <w:tblLayout w:type="fixed"/>
        <w:tblCellMar>
          <w:top w:w="28" w:type="dxa"/>
          <w:left w:w="28" w:type="dxa"/>
          <w:bottom w:w="28" w:type="dxa"/>
          <w:right w:w="28" w:type="dxa"/>
        </w:tblCellMar>
      </w:tblPr>
      <w:tblGrid>
        <w:gridCol w:w="2926"/>
        <w:gridCol w:w="109"/>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Cayman Islands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98-0459628</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3001 Tasman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Santa Clara, California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95054</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(408)</w:t>
      </w:r>
      <w:r>
        <w:rPr>
          <w:rFonts w:ascii="Times New Roman" w:hAnsi="Times New Roman"/>
          <w:color w:val="000000"/>
          <w:sz w:val="20"/>
        </w:rPr>
        <w:t xml:space="preserve"> </w:t>
      </w:r>
      <w:r>
        <w:rPr>
          <w:rFonts w:ascii="Times New Roman" w:hAnsi="Times New Roman"/>
          <w:b/>
          <w:color w:val="000000"/>
          <w:sz w:val="20"/>
        </w:rPr>
        <w:t>734-8888</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9033" w:type="dxa"/>
        <w:jc w:val="left"/>
        <w:tblInd w:w="0" w:type="dxa"/>
        <w:tblLayout w:type="fixed"/>
        <w:tblCellMar>
          <w:top w:w="28" w:type="dxa"/>
          <w:left w:w="28" w:type="dxa"/>
          <w:bottom w:w="28" w:type="dxa"/>
          <w:right w:w="28" w:type="dxa"/>
        </w:tblCellMar>
      </w:tblPr>
      <w:tblGrid>
        <w:gridCol w:w="3901"/>
        <w:gridCol w:w="1426"/>
        <w:gridCol w:w="3706"/>
      </w:tblGrid>
      <w:tr>
        <w:trPr/>
        <w:tc>
          <w:tcPr>
            <w:tcW w:w="390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90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Title of each class</w:t>
            </w:r>
          </w:p>
        </w:tc>
        <w:tc>
          <w:tcPr>
            <w:tcW w:w="14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Trading Symbol</w:t>
            </w:r>
          </w:p>
        </w:tc>
        <w:tc>
          <w:tcPr>
            <w:tcW w:w="37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90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Ordinary Shares, $0.00045 Par Value Per Share</w:t>
            </w:r>
          </w:p>
        </w:tc>
        <w:tc>
          <w:tcPr>
            <w:tcW w:w="1426"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AMBA</w:t>
            </w:r>
          </w:p>
        </w:tc>
        <w:tc>
          <w:tcPr>
            <w:tcW w:w="3706"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812" w:type="dxa"/>
        <w:jc w:val="left"/>
        <w:tblInd w:w="0" w:type="dxa"/>
        <w:tblLayout w:type="fixed"/>
        <w:tblCellMar>
          <w:top w:w="28" w:type="dxa"/>
          <w:left w:w="28" w:type="dxa"/>
          <w:bottom w:w="28" w:type="dxa"/>
          <w:right w:w="28" w:type="dxa"/>
        </w:tblCellMar>
      </w:tblPr>
      <w:tblGrid>
        <w:gridCol w:w="2326"/>
        <w:gridCol w:w="146"/>
        <w:gridCol w:w="37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sz w:val="18"/>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18"/>
        </w:rPr>
        <w:t xml:space="preserve">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number of ordinary shares of the Registrant outstanding as of August 31, 2026 was 44,140,971 shares.</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AMBARELLA,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9"/>
        <w:gridCol w:w="8954"/>
        <w:gridCol w:w="147"/>
        <w:gridCol w:w="365"/>
      </w:tblGrid>
      <w:tr>
        <w:trPr/>
        <w:tc>
          <w:tcPr>
            <w:tcW w:w="739" w:type="dxa"/>
            <w:tcBorders/>
            <w:vAlign w:val="center"/>
          </w:tcPr>
          <w:p>
            <w:pPr>
              <w:pStyle w:val="TableContents"/>
              <w:bidi w:val="0"/>
              <w:spacing w:before="0" w:after="283"/>
              <w:jc w:val="left"/>
              <w:rPr>
                <w:sz w:val="4"/>
                <w:szCs w:val="4"/>
              </w:rPr>
            </w:pPr>
            <w:r>
              <w:rPr>
                <w:sz w:val="4"/>
                <w:szCs w:val="4"/>
              </w:rPr>
            </w:r>
          </w:p>
        </w:tc>
        <w:tc>
          <w:tcPr>
            <w:tcW w:w="895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Page</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u w:val="single"/>
                </w:rPr>
                <w:t>Financial Statements</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Unaudited Condensed Consolidated Balance Sheets at July 31, 2026 and January 31, 2026</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statements_of_operations">
              <w:r>
                <w:rPr>
                  <w:rStyle w:val="InternetLink"/>
                  <w:rFonts w:ascii="Times New Roman" w:hAnsi="Times New Roman"/>
                  <w:color w:val="0000FF"/>
                  <w:sz w:val="20"/>
                  <w:u w:val="single"/>
                </w:rPr>
                <w:t>Unaudited Condensed Consolidated Statements of Operations for the three and six months ended July 31, 2026 and 2025</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mprehensive_income">
              <w:r>
                <w:rPr>
                  <w:rStyle w:val="InternetLink"/>
                  <w:rFonts w:ascii="Times New Roman" w:hAnsi="Times New Roman"/>
                  <w:color w:val="0000FF"/>
                  <w:sz w:val="20"/>
                  <w:u w:val="single"/>
                </w:rPr>
                <w:t>Unaudited Condensed Consolidated Statements of Comprehensive Loss for the three and six months ended July 31, 2026 and 2025</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shareholders_equity">
              <w:r>
                <w:rPr>
                  <w:rStyle w:val="InternetLink"/>
                  <w:rFonts w:ascii="Times New Roman" w:hAnsi="Times New Roman"/>
                  <w:color w:val="0000FF"/>
                  <w:sz w:val="20"/>
                  <w:u w:val="single"/>
                </w:rPr>
                <w:t>Unaudited Condensed Consolidated Statements of Shareholders’ Equity for the three and six months ended July 31, 2026 and 2025</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Unaudited Condensed Consolidated Statements of Cash Flows for the six months ended July 31, 2026 and 2025</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consolidated_financial_statements">
              <w:r>
                <w:rPr>
                  <w:rStyle w:val="InternetLink"/>
                  <w:rFonts w:ascii="Times New Roman" w:hAnsi="Times New Roman"/>
                  <w:color w:val="0000FF"/>
                  <w:sz w:val="20"/>
                  <w:u w:val="single"/>
                </w:rPr>
                <w:t>Notes to Unaudited Condensed Consolidated Financial Statements</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PART II. OTHER INFORMATION</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riskfactors">
              <w:r>
                <w:rPr>
                  <w:rStyle w:val="InternetLink"/>
                  <w:rFonts w:ascii="Times New Roman" w:hAnsi="Times New Roman"/>
                  <w:color w:val="0000FF"/>
                  <w:sz w:val="20"/>
                  <w:u w:val="single"/>
                </w:rPr>
                <w:t>Risk Factors</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stock_repurchase">
              <w:r>
                <w:rPr>
                  <w:rStyle w:val="InternetLink"/>
                  <w:rFonts w:ascii="Times New Roman" w:hAnsi="Times New Roman"/>
                  <w:color w:val="0000FF"/>
                  <w:sz w:val="20"/>
                  <w:u w:val="single"/>
                </w:rPr>
                <w:t>Unregistered Sales of Equity Securities and Use of Proceeds</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spacing w:before="120" w:after="283"/>
        <w:jc w:val="left"/>
        <w:rPr>
          <w:rFonts w:ascii="Times New Roman" w:hAnsi="Times New Roman"/>
          <w:b/>
          <w:color w:val="000000"/>
          <w:sz w:val="20"/>
        </w:rPr>
      </w:pPr>
      <w:bookmarkStart w:id="3" w:name="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AMBARELLA,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410,275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303,625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798,600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177,944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Preference shares, $0.00045 par value per share, 20,000,000 shares authorized and no shares issued and outstanding at July 31, 2026 and January 31, 2026,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Ordinary shares, $0.00045 par value per share, 200,000,000 shares authorized; 44,140,961 and 43,305,592 shares issued and outstanding at July 31, 2026 and January 31, 2026,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922,119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594,789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798,600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AMBARELLA, INC.</w:t>
      </w:r>
    </w:p>
    <w:p>
      <w:pPr>
        <w:pStyle w:val="TextBody"/>
        <w:bidi w:val="0"/>
        <w:jc w:val="center"/>
        <w:rPr>
          <w:rFonts w:ascii="Times New Roman" w:hAnsi="Times New Roman"/>
          <w:b/>
          <w:color w:val="000000"/>
          <w:sz w:val="20"/>
        </w:rPr>
      </w:pPr>
      <w:bookmarkStart w:id="5" w:name="consolidated_statements_of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181,383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155,614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ordinary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to compute net loss per share attributable to ordinary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44,005,576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42,546,979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43,805,429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42,383,475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44,005,576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42,546,979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43,805,429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42,383,475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AMBARELLA, INC.</w:t>
      </w:r>
    </w:p>
    <w:p>
      <w:pPr>
        <w:pStyle w:val="TextBody"/>
        <w:bidi w:val="0"/>
        <w:jc w:val="center"/>
        <w:rPr>
          <w:rFonts w:ascii="Times New Roman" w:hAnsi="Times New Roman"/>
          <w:b/>
          <w:color w:val="000000"/>
          <w:sz w:val="20"/>
        </w:rPr>
      </w:pPr>
      <w:bookmarkStart w:id="6" w:name="comprehensive_income"/>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9194" w:type="dxa"/>
        <w:jc w:val="left"/>
        <w:tblInd w:w="0" w:type="dxa"/>
        <w:tblLayout w:type="fixed"/>
        <w:tblCellMar>
          <w:top w:w="28" w:type="dxa"/>
          <w:left w:w="28" w:type="dxa"/>
          <w:bottom w:w="28" w:type="dxa"/>
          <w:right w:w="28" w:type="dxa"/>
        </w:tblCellMar>
      </w:tblPr>
      <w:tblGrid>
        <w:gridCol w:w="3906"/>
        <w:gridCol w:w="146"/>
        <w:gridCol w:w="224"/>
        <w:gridCol w:w="671"/>
        <w:gridCol w:w="176"/>
        <w:gridCol w:w="155"/>
        <w:gridCol w:w="224"/>
        <w:gridCol w:w="783"/>
        <w:gridCol w:w="166"/>
        <w:gridCol w:w="146"/>
        <w:gridCol w:w="211"/>
        <w:gridCol w:w="736"/>
        <w:gridCol w:w="166"/>
        <w:gridCol w:w="146"/>
        <w:gridCol w:w="211"/>
        <w:gridCol w:w="736"/>
        <w:gridCol w:w="391"/>
      </w:tblGrid>
      <w:tr>
        <w:trPr/>
        <w:tc>
          <w:tcPr>
            <w:tcW w:w="3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(7,386</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AMBARELLA, INC.</w:t>
      </w:r>
    </w:p>
    <w:p>
      <w:pPr>
        <w:pStyle w:val="TextBody"/>
        <w:bidi w:val="0"/>
        <w:jc w:val="center"/>
        <w:rPr>
          <w:rFonts w:ascii="Times New Roman" w:hAnsi="Times New Roman"/>
          <w:b/>
          <w:color w:val="000000"/>
          <w:sz w:val="20"/>
        </w:rPr>
      </w:pPr>
      <w:bookmarkStart w:id="7" w:name="shareholders_equity"/>
      <w:bookmarkEnd w:id="7"/>
      <w:r>
        <w:rPr>
          <w:rFonts w:ascii="Times New Roman" w:hAnsi="Times New Roman"/>
          <w:b/>
          <w:color w:val="000000"/>
          <w:sz w:val="20"/>
        </w:rPr>
        <w:t>CONDENSED CONSOLIDATED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438"/>
        <w:gridCol w:w="146"/>
        <w:gridCol w:w="146"/>
        <w:gridCol w:w="916"/>
        <w:gridCol w:w="166"/>
        <w:gridCol w:w="146"/>
        <w:gridCol w:w="206"/>
        <w:gridCol w:w="365"/>
        <w:gridCol w:w="146"/>
        <w:gridCol w:w="146"/>
        <w:gridCol w:w="196"/>
        <w:gridCol w:w="691"/>
        <w:gridCol w:w="166"/>
        <w:gridCol w:w="146"/>
        <w:gridCol w:w="368"/>
        <w:gridCol w:w="822"/>
        <w:gridCol w:w="166"/>
        <w:gridCol w:w="146"/>
        <w:gridCol w:w="221"/>
        <w:gridCol w:w="850"/>
        <w:gridCol w:w="166"/>
        <w:gridCol w:w="146"/>
        <w:gridCol w:w="196"/>
        <w:gridCol w:w="691"/>
        <w:gridCol w:w="413"/>
      </w:tblGrid>
      <w:tr>
        <w:trPr/>
        <w:tc>
          <w:tcPr>
            <w:tcW w:w="2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 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43,305,592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594,789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shares through employee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shares through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20,845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 -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(18,093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43,861,484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951,980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605,818</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shares through employee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 -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44,140,961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973,864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620,316</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 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41,963,959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561,412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shares through employee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shares through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24,881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 -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(24,328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42,413,608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848,756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572,716</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shares through employee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23,896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(loss) -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(19,995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Balance--July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42,674,711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872,822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576,520</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AMBARELLA, INC.</w:t>
      </w:r>
    </w:p>
    <w:p>
      <w:pPr>
        <w:pStyle w:val="TextBody"/>
        <w:bidi w:val="0"/>
        <w:jc w:val="center"/>
        <w:rPr>
          <w:rFonts w:ascii="Times New Roman" w:hAnsi="Times New Roman"/>
          <w:b/>
          <w:color w:val="000000"/>
          <w:sz w:val="20"/>
        </w:rPr>
      </w:pPr>
      <w:bookmarkStart w:id="8" w:name="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52"/>
        <w:gridCol w:w="146"/>
        <w:gridCol w:w="211"/>
        <w:gridCol w:w="781"/>
        <w:gridCol w:w="166"/>
        <w:gridCol w:w="146"/>
        <w:gridCol w:w="211"/>
        <w:gridCol w:w="781"/>
        <w:gridCol w:w="811"/>
      </w:tblGrid>
      <w:tr>
        <w:trPr/>
        <w:tc>
          <w:tcPr>
            <w:tcW w:w="6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(44,323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Adjustments to reconcile net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13,384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Amortization (accretion) of premium (discount) on marketable debt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51,318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non-cash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(13,129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7,252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5,307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20,307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(34,569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Sales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4,647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 of tangible and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(8,688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(21,099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Share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exercise of stock options and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4,893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Long-term financing payment for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(4,549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144,629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102,292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143,181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noncash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Unpaid liabilities related to tangible and intangible assets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AMBARELLA, INC.</w:t>
      </w:r>
    </w:p>
    <w:p>
      <w:pPr>
        <w:pStyle w:val="TextBody"/>
        <w:bidi w:val="0"/>
        <w:spacing w:before="120" w:after="283"/>
        <w:jc w:val="center"/>
        <w:rPr>
          <w:rFonts w:ascii="Times New Roman" w:hAnsi="Times New Roman"/>
          <w:b/>
          <w:color w:val="000000"/>
          <w:sz w:val="20"/>
        </w:rPr>
      </w:pPr>
      <w:bookmarkStart w:id="9" w:name="consolidated_financial_statements"/>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Organization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Ambarella, Inc. (the Company) was incorporated in the Cayman Islands on January 15, 2004. The Company is a leading developer of low-power system-on-a-chip, or SoC, semiconductors and software for edge and physical artificial intelligence, or AI, applications and intelligent automation. The Company's technologies make electronic systems smarter, enabling them to become partially or fully autonomous with features such as intelligent automation, complex scene understanding, and autonomous decision-making. These systems perform multi-modal data fusion and complex data analysis in real time, delivering high quality imagery, and preserving vital system resources such as power and network bandwidth. The Company specializes in the development of deployable, scalable designs for intelligent electronic systems that utilize high-bandwidth sensors offering a proven path to mass production. The Company’s products are used in a wide variety of human viewing, computer vision and edge and physical AI applications, including a variety of automotive camera systems, video security cameras, fixed robots, autonomous mobile robots (AMRs), industrial applications, intelligent transportation systems, and consumer devices, such as action, drone and 360° cameras.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sells its solutions to leading original equipment manufacturers, or OEMs, who include the Company’s SoCs in their products, and original design manufacturers, or ODMs, who include the Company’s SoCs in the products that they supply to OEMs, globally.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2026 fiscal year filed with the SEC on March 23, 2026 (the Form 10-K) and updated, as necessary, in this Form 10-Q. The year-end condensed consolidated balance sheet data presented for comparative purposes was derived from audited financial statements.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There have been no material changes to the Company’s significant accounting policies described in Note 1, </w:t>
      </w:r>
      <w:r>
        <w:rPr>
          <w:rFonts w:ascii="Times New Roman" w:hAnsi="Times New Roman"/>
          <w:i/>
          <w:color w:val="000000"/>
          <w:sz w:val="20"/>
        </w:rPr>
        <w:t>Organization and Summary of Significant Accounting Policies</w:t>
      </w:r>
      <w:r>
        <w:rPr>
          <w:rFonts w:ascii="Times New Roman" w:hAnsi="Times New Roman"/>
          <w:color w:val="000000"/>
          <w:sz w:val="20"/>
        </w:rPr>
        <w:t>, of the Notes to Consolidated Financial Statements included in the Company’s Annual Report on Form 10-K for the fiscal year ended January 31, 2026.</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Concentration of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substantial portion of the Company’s revenue is derived from sales through two of its distributors, WT Microelectronics Co., Ltd., formerly Wintech Microelectronics Co., Ltd., or WT, which serves as its non-exclusive sales representative and fulfillment partner in Asia other than Japan, and Hakuto Co., Ltd., or Hakuto, a Japanese distributor. Termination of the relationships with these customers could result in a temporary or permanent loss of revenue. Furthermore, any credit issues from these customers could impair their abilities to make timely payment to the Company. See Note 15 for additional information regarding revenue and credit concentration with these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fixed deposits, commercial paper, corporate bonds, asset-backed securities and U.S. government securities which management assesses to be highly liquid. The Company does not hold or issue financial instruments for trading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performs ongoing credit evaluation of its customers and adjusts credit limits based upon payment history and customers’ credit worthiness. The Company regularly monitors collections and payments from its customers.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restricted cash primarily consists of a Letter of Credit of approximately $0.4 million with a financial institution as collateral for the security deposit on its office lease located in Santa Clara, California, as well as those amounts required to be set aside to secure certain transactions in a foreign entity. The following table presents cash, cash equivalents and restricted cash reported on the condensed consolidated balance sheets, and the totals are presented on the condensed consolidated statements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4"/>
        <w:gridCol w:w="146"/>
        <w:gridCol w:w="211"/>
        <w:gridCol w:w="781"/>
        <w:gridCol w:w="146"/>
        <w:gridCol w:w="146"/>
        <w:gridCol w:w="217"/>
        <w:gridCol w:w="804"/>
        <w:gridCol w:w="146"/>
        <w:gridCol w:w="146"/>
        <w:gridCol w:w="211"/>
        <w:gridCol w:w="781"/>
        <w:gridCol w:w="146"/>
        <w:gridCol w:w="146"/>
        <w:gridCol w:w="217"/>
        <w:gridCol w:w="804"/>
        <w:gridCol w:w="393"/>
      </w:tblGrid>
      <w:tr>
        <w:trPr/>
        <w:tc>
          <w:tcPr>
            <w:tcW w:w="4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July 31,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January 31,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January 31, </w:t>
              <w:b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144,622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 presented in the condensed consolidated statements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144,629</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Financial Accounting Standards Board (FASB) issued Accounting Standards Update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xml:space="preserve">. This new guidance requires public entities to provide disaggregated disclosures, in the notes to the financial statements, of certain categories of expenses that are included in expense line items on the face of the income statement. The ASU may be applied prospectively or retrospectively and is effective for fiscal years beginning after December 15, 2026 and for interim periods beginning after December 15, 2027. Early adoption is permitted. The Company expects to adopt this new guidance in its fiscal period ending January 31, 2028. The Company expects that such adoption will only have an impact on its financial disclosures and does not believe it will have a material impact on its consolidated financial statements. </w:t>
      </w:r>
    </w:p>
    <w:p>
      <w:pPr>
        <w:pStyle w:val="TextBody"/>
        <w:bidi w:val="0"/>
        <w:spacing w:before="240" w:after="160"/>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This new guidance simplifies the estimation of credit losses on current accounts receivable and current contract assets arising from transactions accounted for under Accounting Standards Codification (ASC) 606</w:t>
      </w:r>
      <w:r>
        <w:rPr>
          <w:rFonts w:ascii="Times New Roman" w:hAnsi="Times New Roman"/>
          <w:i/>
          <w:color w:val="000000"/>
          <w:sz w:val="20"/>
        </w:rPr>
        <w:t>, Revenue from Contracts with Customers</w:t>
      </w:r>
      <w:r>
        <w:rPr>
          <w:rFonts w:ascii="Times New Roman" w:hAnsi="Times New Roman"/>
          <w:color w:val="000000"/>
          <w:sz w:val="20"/>
        </w:rPr>
        <w:t>, and allows all entities to elect a practical expedient to assume that the current conditions as of the balance sheet date will remain unchanged for the remaining life of the asset when developing a reasonable and supportable forecast as part of estimating expected credit losses on these assets. The new guidance is effective for fiscal years beginning after December 15, 2025, and interim periods within those fiscal years. Early adoption is permitted. The Company adopted this new guidance and elected the practical expedient in its first quarter of fiscal year 2027. The adoption did not result in a material impact on its consolidated financial statements and disclosures.</w:t>
      </w:r>
    </w:p>
    <w:p>
      <w:pPr>
        <w:pStyle w:val="TextBody"/>
        <w:bidi w:val="0"/>
        <w:spacing w:before="80" w:after="16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Financial Instruments and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invests a portion of its cash in money market funds, fixed deposits and marketable debt securities that are denominated in United States dollars. The marketable debt security portfolio consists of commercial paper, corporate bonds, asset-backed securities and U.S. government securities. All of the investments are classified as available-for-sale securities and reported at fair value in the condensed consolidated balance sheets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28"/>
        <w:gridCol w:w="146"/>
        <w:gridCol w:w="255"/>
        <w:gridCol w:w="943"/>
        <w:gridCol w:w="146"/>
        <w:gridCol w:w="146"/>
        <w:gridCol w:w="420"/>
        <w:gridCol w:w="843"/>
        <w:gridCol w:w="146"/>
        <w:gridCol w:w="146"/>
        <w:gridCol w:w="392"/>
        <w:gridCol w:w="896"/>
        <w:gridCol w:w="166"/>
        <w:gridCol w:w="146"/>
        <w:gridCol w:w="211"/>
        <w:gridCol w:w="781"/>
        <w:gridCol w:w="394"/>
      </w:tblGrid>
      <w:tr>
        <w:trPr/>
        <w:tc>
          <w:tcPr>
            <w:tcW w:w="4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0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July 31, 2026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Amortized</w:t>
            </w:r>
            <w:r>
              <w:rPr>
                <w:rFonts w:ascii="Times New Roman" w:hAnsi="Times New Roman"/>
                <w:color w:val="000000"/>
                <w:sz w:val="16"/>
              </w:rPr>
              <w:t xml:space="preserve"> </w:t>
            </w: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Unrealized</w:t>
            </w:r>
            <w:r>
              <w:rPr>
                <w:rFonts w:ascii="Times New Roman" w:hAnsi="Times New Roman"/>
                <w:color w:val="000000"/>
                <w:sz w:val="16"/>
              </w:rPr>
              <w:t xml:space="preserve"> </w:t>
            </w: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and fixed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21,519</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107,123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31,382</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194,000</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 2026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Amortized</w:t>
            </w:r>
            <w:r>
              <w:rPr>
                <w:rFonts w:ascii="Times New Roman" w:hAnsi="Times New Roman"/>
                <w:color w:val="000000"/>
                <w:sz w:val="16"/>
              </w:rPr>
              <w:t xml:space="preserve"> </w:t>
            </w: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Unrealized</w:t>
            </w:r>
            <w:r>
              <w:rPr>
                <w:rFonts w:ascii="Times New Roman" w:hAnsi="Times New Roman"/>
                <w:color w:val="000000"/>
                <w:sz w:val="16"/>
              </w:rPr>
              <w:t xml:space="preserve"> </w:t>
            </w: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and fixed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35,953</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182,552</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the breakdown of unrealized losses as of July 31, 2026 and January 31, 2026, respectively, aggregated by investment category and length of time that individual securities have been in a continuous loss position: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93"/>
        <w:gridCol w:w="146"/>
        <w:gridCol w:w="211"/>
        <w:gridCol w:w="781"/>
        <w:gridCol w:w="146"/>
        <w:gridCol w:w="146"/>
        <w:gridCol w:w="324"/>
        <w:gridCol w:w="740"/>
        <w:gridCol w:w="166"/>
        <w:gridCol w:w="146"/>
        <w:gridCol w:w="255"/>
        <w:gridCol w:w="419"/>
        <w:gridCol w:w="157"/>
        <w:gridCol w:w="157"/>
        <w:gridCol w:w="402"/>
        <w:gridCol w:w="661"/>
        <w:gridCol w:w="146"/>
        <w:gridCol w:w="146"/>
        <w:gridCol w:w="211"/>
        <w:gridCol w:w="781"/>
        <w:gridCol w:w="146"/>
        <w:gridCol w:w="146"/>
        <w:gridCol w:w="324"/>
        <w:gridCol w:w="740"/>
        <w:gridCol w:w="415"/>
      </w:tblGrid>
      <w:tr>
        <w:trPr/>
        <w:tc>
          <w:tcPr>
            <w:tcW w:w="2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July 31, 2026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debt securities at loss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 2026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debt securities at loss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7975" w:type="dxa"/>
        <w:jc w:val="left"/>
        <w:tblInd w:w="0" w:type="dxa"/>
        <w:tblLayout w:type="fixed"/>
        <w:tblCellMar>
          <w:top w:w="28" w:type="dxa"/>
          <w:left w:w="28" w:type="dxa"/>
          <w:bottom w:w="28" w:type="dxa"/>
          <w:right w:w="28" w:type="dxa"/>
        </w:tblCellMar>
      </w:tblPr>
      <w:tblGrid>
        <w:gridCol w:w="4656"/>
        <w:gridCol w:w="146"/>
        <w:gridCol w:w="233"/>
        <w:gridCol w:w="862"/>
        <w:gridCol w:w="146"/>
        <w:gridCol w:w="146"/>
        <w:gridCol w:w="296"/>
        <w:gridCol w:w="1099"/>
        <w:gridCol w:w="391"/>
      </w:tblGrid>
      <w:tr>
        <w:trPr/>
        <w:tc>
          <w:tcPr>
            <w:tcW w:w="4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January</w:t>
            </w:r>
            <w:r>
              <w:rPr>
                <w:rFonts w:ascii="Times New Roman" w:hAnsi="Times New Roman"/>
                <w:color w:val="000000"/>
                <w:sz w:val="16"/>
              </w:rPr>
              <w:t xml:space="preserve"> </w:t>
            </w:r>
            <w:r>
              <w:rPr>
                <w:rFonts w:ascii="Times New Roman" w:hAnsi="Times New Roman"/>
                <w:b/>
                <w:color w:val="000000"/>
                <w:sz w:val="16"/>
              </w:rPr>
              <w:t>31,</w:t>
            </w:r>
            <w:r>
              <w:rPr>
                <w:rFonts w:ascii="Times New Roman" w:hAnsi="Times New Roman"/>
                <w:color w:val="000000"/>
                <w:sz w:val="16"/>
              </w:rPr>
              <w:t xml:space="preserve"> </w:t>
            </w: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Included in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Included in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contractual maturities of the investments at July 31, 2026 and January 31, 2026 were as follows:</w:t>
      </w:r>
    </w:p>
    <w:p>
      <w:pPr>
        <w:pStyle w:val="TextBody"/>
        <w:bidi w:val="0"/>
        <w:jc w:val="left"/>
        <w:rPr/>
      </w:pPr>
      <w:r>
        <w:rPr/>
        <w:t> </w:t>
      </w:r>
    </w:p>
    <w:tbl>
      <w:tblPr>
        <w:tblW w:w="7975" w:type="dxa"/>
        <w:jc w:val="left"/>
        <w:tblInd w:w="0" w:type="dxa"/>
        <w:tblLayout w:type="fixed"/>
        <w:tblCellMar>
          <w:top w:w="28" w:type="dxa"/>
          <w:left w:w="28" w:type="dxa"/>
          <w:bottom w:w="28" w:type="dxa"/>
          <w:right w:w="28" w:type="dxa"/>
        </w:tblCellMar>
      </w:tblPr>
      <w:tblGrid>
        <w:gridCol w:w="4656"/>
        <w:gridCol w:w="146"/>
        <w:gridCol w:w="233"/>
        <w:gridCol w:w="862"/>
        <w:gridCol w:w="146"/>
        <w:gridCol w:w="146"/>
        <w:gridCol w:w="296"/>
        <w:gridCol w:w="1099"/>
        <w:gridCol w:w="391"/>
      </w:tblGrid>
      <w:tr>
        <w:trPr/>
        <w:tc>
          <w:tcPr>
            <w:tcW w:w="4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January</w:t>
            </w:r>
            <w:r>
              <w:rPr>
                <w:rFonts w:ascii="Times New Roman" w:hAnsi="Times New Roman"/>
                <w:color w:val="000000"/>
                <w:sz w:val="16"/>
              </w:rPr>
              <w:t xml:space="preserve"> </w:t>
            </w:r>
            <w:r>
              <w:rPr>
                <w:rFonts w:ascii="Times New Roman" w:hAnsi="Times New Roman"/>
                <w:b/>
                <w:color w:val="000000"/>
                <w:sz w:val="16"/>
              </w:rPr>
              <w:t>31,</w:t>
            </w:r>
            <w:r>
              <w:rPr>
                <w:rFonts w:ascii="Times New Roman" w:hAnsi="Times New Roman"/>
                <w:color w:val="000000"/>
                <w:sz w:val="16"/>
              </w:rPr>
              <w:t xml:space="preserve"> </w:t>
            </w: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1 - 5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5 - 15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unrealized gains and losses on the available-for-sale securities were primarily caused by fluctuations in market value and interest rates as a result of the economic environment.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(loss) in the condensed consolidated balance sheets. The credit-related losses were not material for the three and six months ended July 31, 2026 and 2025, respectively. The accrued interest on available-for-sale securities is included in marketable debt securities in the condensed consolidated balance sheets. As of July 31, 2026 and January 31, 2026, the accrued interest was approximately $1.6 million and $1.0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fair value hierarchy is applied for disclosure of the inputs used to measure fair value. This hierarchy prioritizes the inputs into three broad levels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1—Inputs are unadjusted quoted prices in active markets for identical assets or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2—Inputs are quoted prices for similar assets and liabilities in active markets or inputs that are observable for the assets or liabilities, either directly or indirectly through market corroboration, for substantially the full term of the financial instruments.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 based on the Company’s own assumptions used to measure assets and liabilities at fair value. The inputs require significant management judgment or estimation.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the fair value of money market funds and fixed deposits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present the fair value of the financial instruments measured on a recurring basis as of July 31, 2026 and January 31, 2026, respectively:</w:t>
      </w:r>
    </w:p>
    <w:p>
      <w:pPr>
        <w:pStyle w:val="TextBody"/>
        <w:bidi w:val="0"/>
        <w:jc w:val="left"/>
        <w:rPr/>
      </w:pPr>
      <w:r>
        <w:rPr/>
        <w:t> </w:t>
      </w:r>
    </w:p>
    <w:tbl>
      <w:tblPr>
        <w:tblW w:w="9570" w:type="dxa"/>
        <w:jc w:val="left"/>
        <w:tblInd w:w="0" w:type="dxa"/>
        <w:tblLayout w:type="fixed"/>
        <w:tblCellMar>
          <w:top w:w="28" w:type="dxa"/>
          <w:left w:w="28" w:type="dxa"/>
          <w:bottom w:w="28" w:type="dxa"/>
          <w:right w:w="28" w:type="dxa"/>
        </w:tblCellMar>
      </w:tblPr>
      <w:tblGrid>
        <w:gridCol w:w="4656"/>
        <w:gridCol w:w="146"/>
        <w:gridCol w:w="211"/>
        <w:gridCol w:w="781"/>
        <w:gridCol w:w="146"/>
        <w:gridCol w:w="146"/>
        <w:gridCol w:w="211"/>
        <w:gridCol w:w="676"/>
        <w:gridCol w:w="146"/>
        <w:gridCol w:w="146"/>
        <w:gridCol w:w="211"/>
        <w:gridCol w:w="781"/>
        <w:gridCol w:w="146"/>
        <w:gridCol w:w="146"/>
        <w:gridCol w:w="239"/>
        <w:gridCol w:w="391"/>
        <w:gridCol w:w="391"/>
      </w:tblGrid>
      <w:tr>
        <w:trPr/>
        <w:tc>
          <w:tcPr>
            <w:tcW w:w="4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July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and fixed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and fixed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Inventories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at July 31, 2026 and January 31, 2026 consisted of the following:</w:t>
      </w:r>
    </w:p>
    <w:p>
      <w:pPr>
        <w:pStyle w:val="TextBody"/>
        <w:bidi w:val="0"/>
        <w:jc w:val="left"/>
        <w:rPr/>
      </w:pPr>
      <w:r>
        <w:rPr/>
        <w:t> </w:t>
      </w:r>
    </w:p>
    <w:tbl>
      <w:tblPr>
        <w:tblW w:w="4850" w:type="dxa"/>
        <w:jc w:val="left"/>
        <w:tblInd w:w="0" w:type="dxa"/>
        <w:tblLayout w:type="fixed"/>
        <w:tblCellMar>
          <w:top w:w="28" w:type="dxa"/>
          <w:left w:w="28" w:type="dxa"/>
          <w:bottom w:w="28" w:type="dxa"/>
          <w:right w:w="28" w:type="dxa"/>
        </w:tblCellMar>
      </w:tblPr>
      <w:tblGrid>
        <w:gridCol w:w="1531"/>
        <w:gridCol w:w="146"/>
        <w:gridCol w:w="260"/>
        <w:gridCol w:w="835"/>
        <w:gridCol w:w="146"/>
        <w:gridCol w:w="146"/>
        <w:gridCol w:w="332"/>
        <w:gridCol w:w="1063"/>
        <w:gridCol w:w="3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January</w:t>
            </w:r>
            <w:r>
              <w:rPr>
                <w:rFonts w:ascii="Times New Roman" w:hAnsi="Times New Roman"/>
                <w:color w:val="000000"/>
                <w:sz w:val="16"/>
              </w:rPr>
              <w:t xml:space="preserve"> </w:t>
            </w:r>
            <w:r>
              <w:rPr>
                <w:rFonts w:ascii="Times New Roman" w:hAnsi="Times New Roman"/>
                <w:b/>
                <w:color w:val="000000"/>
                <w:sz w:val="16"/>
              </w:rPr>
              <w:t>31,</w:t>
            </w:r>
            <w:r>
              <w:rPr>
                <w:rFonts w:ascii="Times New Roman" w:hAnsi="Times New Roman"/>
                <w:color w:val="000000"/>
                <w:sz w:val="16"/>
              </w:rPr>
              <w:t xml:space="preserve"> </w:t>
            </w: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was approximately $1.3 million and $1.2 million for the three months ended July 31, 2026 and 2025, respectively, and was approximately $2.5 million and $2.3 million for the six months ended July 31, 2026 and 2025, respectively. Property and equipment at July 31, 2026 and January 31, 2026 consisted of the following:</w:t>
      </w:r>
    </w:p>
    <w:p>
      <w:pPr>
        <w:pStyle w:val="TextBody"/>
        <w:bidi w:val="0"/>
        <w:jc w:val="left"/>
        <w:rPr/>
      </w:pPr>
      <w:r>
        <w:rPr/>
        <w:t> </w:t>
      </w:r>
    </w:p>
    <w:tbl>
      <w:tblPr>
        <w:tblW w:w="7470" w:type="dxa"/>
        <w:jc w:val="left"/>
        <w:tblInd w:w="0" w:type="dxa"/>
        <w:tblLayout w:type="fixed"/>
        <w:tblCellMar>
          <w:top w:w="28" w:type="dxa"/>
          <w:left w:w="28" w:type="dxa"/>
          <w:bottom w:w="28" w:type="dxa"/>
          <w:right w:w="28" w:type="dxa"/>
        </w:tblCellMar>
      </w:tblPr>
      <w:tblGrid>
        <w:gridCol w:w="4111"/>
        <w:gridCol w:w="146"/>
        <w:gridCol w:w="244"/>
        <w:gridCol w:w="851"/>
        <w:gridCol w:w="166"/>
        <w:gridCol w:w="146"/>
        <w:gridCol w:w="311"/>
        <w:gridCol w:w="1084"/>
        <w:gridCol w:w="4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January</w:t>
            </w:r>
            <w:r>
              <w:rPr>
                <w:rFonts w:ascii="Times New Roman" w:hAnsi="Times New Roman"/>
                <w:color w:val="000000"/>
                <w:sz w:val="16"/>
              </w:rPr>
              <w:t xml:space="preserve"> </w:t>
            </w:r>
            <w:r>
              <w:rPr>
                <w:rFonts w:ascii="Times New Roman" w:hAnsi="Times New Roman"/>
                <w:b/>
                <w:color w:val="000000"/>
                <w:sz w:val="16"/>
              </w:rPr>
              <w:t>31,</w:t>
            </w:r>
            <w:r>
              <w:rPr>
                <w:rFonts w:ascii="Times New Roman" w:hAnsi="Times New Roman"/>
                <w:color w:val="000000"/>
                <w:sz w:val="16"/>
              </w:rPr>
              <w:t xml:space="preserve"> </w:t>
            </w:r>
            <w:r>
              <w:rPr>
                <w:rFonts w:ascii="Times New Roman" w:hAnsi="Times New Roman"/>
                <w:b/>
                <w:color w:val="000000"/>
                <w:sz w:val="16"/>
              </w:rPr>
              <w:t>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Tools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Goodwill and Intangible Assets,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represents the excess of the purchase price over the fair value of net tangible and identifiable intangible assets acquired in a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assets primarily consist of software licenses as well as developed technology, customer relationships and trade name that were acquired from business combinations.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certain software license agreements with third parties from time-to-time. The software licenses consist of noncancelable on-premise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July 31, 2026, software license liabilities of approximately $10.1 million were recorded in accrued and other current liabilities and approximately $9.3 million were recorded in other long-term liabilities in the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intangible assets as of July 31, 2026 and January 31, 2026 were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417"/>
        <w:gridCol w:w="146"/>
        <w:gridCol w:w="254"/>
        <w:gridCol w:w="815"/>
        <w:gridCol w:w="146"/>
        <w:gridCol w:w="146"/>
        <w:gridCol w:w="280"/>
        <w:gridCol w:w="984"/>
        <w:gridCol w:w="166"/>
        <w:gridCol w:w="146"/>
        <w:gridCol w:w="247"/>
        <w:gridCol w:w="792"/>
        <w:gridCol w:w="146"/>
        <w:gridCol w:w="146"/>
        <w:gridCol w:w="254"/>
        <w:gridCol w:w="815"/>
        <w:gridCol w:w="146"/>
        <w:gridCol w:w="146"/>
        <w:gridCol w:w="280"/>
        <w:gridCol w:w="984"/>
        <w:gridCol w:w="166"/>
        <w:gridCol w:w="146"/>
        <w:gridCol w:w="247"/>
        <w:gridCol w:w="792"/>
        <w:gridCol w:w="398"/>
      </w:tblGrid>
      <w:tr>
        <w:trPr/>
        <w:tc>
          <w:tcPr>
            <w:tcW w:w="1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 2026</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Amount</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4"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41,915</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58,046</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July 31, 2026, there were approximately $7.2 million of software licenses purchased and approximately $0.2 million expired. The amortization expense associated with software licenses was approximately $3.1 million and $3.3 million for the three months ended July 31, 2026 and 2025, respectively, and was approximately $6.2 million and $6.8 million for the six months ended July 31, 2026 and 2025, respectively. The amortization expense associated with acquisition-related intangible assets, including developed technology, customer relationships and trade name, was approximately $1.2 million and $1.2 million for the three months ended July 31, 2026 and 2025, respectively, and was approximately $2.4 million and $2.4 million for the six months ended July 31, 2026 and 2025, respectively. As of July 31, 2026, the Company has not commenced amortization with respect to approximately $14.7 million of software licenses with alternative uses that are to be sold, leased or otherwise marketed as part of products. Once the associated products are available for general release to customers, the Company will commence amortization on a product-by-product basis over the remaining estimated economic life of the products. The expected future amortization expense related to the intangible assets as of July 31, 2026 is as follows:</w:t>
      </w:r>
    </w:p>
    <w:p>
      <w:pPr>
        <w:pStyle w:val="TextBody"/>
        <w:bidi w:val="0"/>
        <w:spacing w:before="240" w:after="283"/>
        <w:jc w:val="left"/>
        <w:rPr/>
      </w:pPr>
      <w:r>
        <w:rPr/>
        <w:t> </w:t>
      </w:r>
    </w:p>
    <w:tbl>
      <w:tblPr>
        <w:tblW w:w="5263" w:type="dxa"/>
        <w:jc w:val="left"/>
        <w:tblInd w:w="0" w:type="dxa"/>
        <w:tblLayout w:type="fixed"/>
        <w:tblCellMar>
          <w:top w:w="28" w:type="dxa"/>
          <w:left w:w="28" w:type="dxa"/>
          <w:bottom w:w="28" w:type="dxa"/>
          <w:right w:w="28" w:type="dxa"/>
        </w:tblCellMar>
      </w:tblPr>
      <w:tblGrid>
        <w:gridCol w:w="3401"/>
        <w:gridCol w:w="146"/>
        <w:gridCol w:w="267"/>
        <w:gridCol w:w="858"/>
        <w:gridCol w:w="591"/>
      </w:tblGrid>
      <w:tr>
        <w:trPr/>
        <w:tc>
          <w:tcPr>
            <w:tcW w:w="3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 (6 months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future amortization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56,672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Goodwill is tested for impairment at least annually, in the fourth fiscal quarter, or more frequently if events or changes in circumstances indicate that it may be impaired. There were no goodwill or intangible asset impairments for the three and six months ended July 31, 2026 and 2025, respectively.</w:t>
      </w:r>
    </w:p>
    <w:p>
      <w:pPr>
        <w:pStyle w:val="TextBody"/>
        <w:bidi w:val="0"/>
        <w:spacing w:before="2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Accrued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current liabilities at July 31, 2026 and January 31, 2026 consisted of the following:</w:t>
      </w:r>
    </w:p>
    <w:p>
      <w:pPr>
        <w:pStyle w:val="TextBody"/>
        <w:bidi w:val="0"/>
        <w:jc w:val="left"/>
        <w:rPr/>
      </w:pPr>
      <w:r>
        <w:rPr/>
        <w:t> </w:t>
      </w:r>
    </w:p>
    <w:tbl>
      <w:tblPr>
        <w:tblW w:w="7000" w:type="dxa"/>
        <w:jc w:val="left"/>
        <w:tblInd w:w="0" w:type="dxa"/>
        <w:tblLayout w:type="fixed"/>
        <w:tblCellMar>
          <w:top w:w="28" w:type="dxa"/>
          <w:left w:w="28" w:type="dxa"/>
          <w:bottom w:w="28" w:type="dxa"/>
          <w:right w:w="28" w:type="dxa"/>
        </w:tblCellMar>
      </w:tblPr>
      <w:tblGrid>
        <w:gridCol w:w="3681"/>
        <w:gridCol w:w="146"/>
        <w:gridCol w:w="260"/>
        <w:gridCol w:w="835"/>
        <w:gridCol w:w="146"/>
        <w:gridCol w:w="146"/>
        <w:gridCol w:w="332"/>
        <w:gridCol w:w="1063"/>
        <w:gridCol w:w="391"/>
      </w:tblGrid>
      <w:tr>
        <w:trPr/>
        <w:tc>
          <w:tcPr>
            <w:tcW w:w="3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January</w:t>
            </w:r>
            <w:r>
              <w:rPr>
                <w:rFonts w:ascii="Times New Roman" w:hAnsi="Times New Roman"/>
                <w:color w:val="000000"/>
                <w:sz w:val="16"/>
              </w:rPr>
              <w:t xml:space="preserve"> </w:t>
            </w:r>
            <w:r>
              <w:rPr>
                <w:rFonts w:ascii="Times New Roman" w:hAnsi="Times New Roman"/>
                <w:b/>
                <w:color w:val="000000"/>
                <w:sz w:val="16"/>
              </w:rPr>
              <w:t>31,</w:t>
            </w:r>
            <w:r>
              <w:rPr>
                <w:rFonts w:ascii="Times New Roman" w:hAnsi="Times New Roman"/>
                <w:color w:val="000000"/>
                <w:sz w:val="16"/>
              </w:rPr>
              <w:t xml:space="preserve"> </w:t>
            </w: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product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license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deposit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accrued employee compensation primarily consists of accrued payroll and accrued employee benefits, as well as employee stock purchase plan withholding. For the accrued employee compensation as of January 31, 2026, approximately $14.1 million of annual bonus was paid in the first quarter of fiscal year 2027, of which $8.6 million was paid in cash and $5.5 million was settled with fully vested restricted stock units. The timing of new and next-gen SoC development and invoicing from outside foundries usually results in fluctuation of accrued product development costs. The $13.5 million of development deposit liability as of January 31, 2026 represents a cash advance from a customer for funding a development project that is subject to certain refund conditions. On May 12, 2026, the Company terminated the development project with the customer. Pursuant to the terms of the termination agreement, the Company refunded $4.5 million of the deposit to the customer. The remaining $9.0 million of the deposit was recognized as a reduction of research and development expense in the second quarter ended July 31, 2026.</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material lease agreements entered into, or modified, during the six months ended July 31, 2026. The operating lease expense was approximately $0.8 million and $0.9 million for the three months ended July 31, 2026 and 2025, respectively, and was approximately $1.7 million and $1.8 million for the six months ended July 31, 2026 and 2025, respectively. The Company's short-term leases and finance leases were not material as of July 31, 2026 and January 31, 2026, respectively.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cash flow information related to the operating leases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319"/>
        <w:gridCol w:w="146"/>
        <w:gridCol w:w="301"/>
        <w:gridCol w:w="601"/>
        <w:gridCol w:w="208"/>
        <w:gridCol w:w="208"/>
        <w:gridCol w:w="301"/>
        <w:gridCol w:w="601"/>
        <w:gridCol w:w="146"/>
        <w:gridCol w:w="146"/>
        <w:gridCol w:w="231"/>
        <w:gridCol w:w="626"/>
        <w:gridCol w:w="159"/>
        <w:gridCol w:w="159"/>
        <w:gridCol w:w="231"/>
        <w:gridCol w:w="626"/>
        <w:gridCol w:w="196"/>
      </w:tblGrid>
      <w:tr>
        <w:trPr/>
        <w:tc>
          <w:tcPr>
            <w:tcW w:w="5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 included in operating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obtained in exchange for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July 31, 2026, the weighted average remaining lease term is 6.88 years, and the weighted average discount rate is 8.19 percent. Future minimum lease payments for the lease liabilities are as follows:</w:t>
      </w:r>
    </w:p>
    <w:p>
      <w:pPr>
        <w:pStyle w:val="TextBody"/>
        <w:bidi w:val="0"/>
        <w:jc w:val="left"/>
        <w:rPr/>
      </w:pPr>
      <w:r>
        <w:rPr/>
        <w:t> </w:t>
      </w:r>
    </w:p>
    <w:tbl>
      <w:tblPr>
        <w:tblW w:w="6063" w:type="dxa"/>
        <w:jc w:val="left"/>
        <w:tblInd w:w="0" w:type="dxa"/>
        <w:tblLayout w:type="fixed"/>
        <w:tblCellMar>
          <w:top w:w="28" w:type="dxa"/>
          <w:left w:w="28" w:type="dxa"/>
          <w:bottom w:w="28" w:type="dxa"/>
          <w:right w:w="28" w:type="dxa"/>
        </w:tblCellMar>
      </w:tblPr>
      <w:tblGrid>
        <w:gridCol w:w="4181"/>
        <w:gridCol w:w="146"/>
        <w:gridCol w:w="267"/>
        <w:gridCol w:w="858"/>
        <w:gridCol w:w="611"/>
      </w:tblGrid>
      <w:tr>
        <w:trPr/>
        <w:tc>
          <w:tcPr>
            <w:tcW w:w="4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 (6 months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future annual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Deferred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Deferred revenue primarily relates to nonrecurring engineering (NRE) project service agreements that are already invoiced or paid, but for which, related performance obligations are not yet satisfied. It also includes amounts relating to some product shipments, wherein, a portion of a transaction price exceeds the weighted average selling price of products sold to date under tiered-pricing contracts that contain material rights. During the six months ended July 31, 2026 and 2025, the amount recognized as revenue that was included in deferred revenue at the end of the prior fiscal year was approximately $10.7 million and $7.7 million,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July 31, 2026, the amount of transaction price allocated to performance obligations that are unsatisfied, or partially unsatisfied, consisting of product purchase orders and NRE project service agreements with an original contract duration of more than one year, was approximately $91.4 million, of which approximately 79% is expected to be recognized within the next 12 months. This does not include consideration in contracts with an original expected contract duration of one year or less, or variable consideration that is constrained.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Other Long-Term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long-term liabilities at July 31, 2026 and January 31, 2026 consisted of the following: </w:t>
      </w:r>
    </w:p>
    <w:p>
      <w:pPr>
        <w:pStyle w:val="TextBody"/>
        <w:bidi w:val="0"/>
        <w:jc w:val="left"/>
        <w:rPr/>
      </w:pPr>
      <w:r>
        <w:rPr/>
        <w:t> </w:t>
      </w:r>
    </w:p>
    <w:tbl>
      <w:tblPr>
        <w:tblW w:w="7790" w:type="dxa"/>
        <w:jc w:val="left"/>
        <w:tblInd w:w="0" w:type="dxa"/>
        <w:tblLayout w:type="fixed"/>
        <w:tblCellMar>
          <w:top w:w="28" w:type="dxa"/>
          <w:left w:w="28" w:type="dxa"/>
          <w:bottom w:w="28" w:type="dxa"/>
          <w:right w:w="28" w:type="dxa"/>
        </w:tblCellMar>
      </w:tblPr>
      <w:tblGrid>
        <w:gridCol w:w="4471"/>
        <w:gridCol w:w="146"/>
        <w:gridCol w:w="260"/>
        <w:gridCol w:w="835"/>
        <w:gridCol w:w="146"/>
        <w:gridCol w:w="146"/>
        <w:gridCol w:w="332"/>
        <w:gridCol w:w="1063"/>
        <w:gridCol w:w="39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January</w:t>
            </w:r>
            <w:r>
              <w:rPr>
                <w:rFonts w:ascii="Times New Roman" w:hAnsi="Times New Roman"/>
                <w:color w:val="000000"/>
                <w:sz w:val="16"/>
              </w:rPr>
              <w:t xml:space="preserve"> </w:t>
            </w:r>
            <w:r>
              <w:rPr>
                <w:rFonts w:ascii="Times New Roman" w:hAnsi="Times New Roman"/>
                <w:b/>
                <w:color w:val="000000"/>
                <w:sz w:val="16"/>
              </w:rPr>
              <w:t>31,</w:t>
            </w:r>
            <w:r>
              <w:rPr>
                <w:rFonts w:ascii="Times New Roman" w:hAnsi="Times New Roman"/>
                <w:color w:val="000000"/>
                <w:sz w:val="16"/>
              </w:rPr>
              <w:t xml:space="preserve"> </w:t>
            </w: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unrecognized tax benefits, including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license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Capital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Preference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preference shares issued and outstanding as of July 31, 2026 and January 31, 2026,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first quarter of fiscal year 2027, the Company added 541,319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 (ii) one and one quarter percent (1.25%) of the aggregate number of ordinary shares outstanding on February 1st of each fiscal year, or (iii) an amount determined by the Company’s Board of Directors or a duly authorized committee of the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July 31, 2026 and January 31, 2026, the following ordinary shares were reserved for future issuance under the Company’s equity plans and employee stock purchase plan:</w:t>
      </w:r>
    </w:p>
    <w:tbl>
      <w:tblPr>
        <w:tblW w:w="7245" w:type="dxa"/>
        <w:jc w:val="left"/>
        <w:tblInd w:w="0" w:type="dxa"/>
        <w:tblLayout w:type="fixed"/>
        <w:tblCellMar>
          <w:top w:w="28" w:type="dxa"/>
          <w:left w:w="28" w:type="dxa"/>
          <w:bottom w:w="28" w:type="dxa"/>
          <w:right w:w="28" w:type="dxa"/>
        </w:tblCellMar>
      </w:tblPr>
      <w:tblGrid>
        <w:gridCol w:w="4126"/>
        <w:gridCol w:w="146"/>
        <w:gridCol w:w="148"/>
        <w:gridCol w:w="947"/>
        <w:gridCol w:w="146"/>
        <w:gridCol w:w="146"/>
        <w:gridCol w:w="189"/>
        <w:gridCol w:w="1206"/>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options, restricted stock and</w:t>
              <w:br/>
              <w:t>   restricted stock units under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3,811,695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3,975,230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jc w:val="left"/>
        <w:rPr>
          <w:rFonts w:ascii="Times New Roman" w:hAnsi="Times New Roman"/>
          <w:color w:val="000000"/>
          <w:sz w:val="20"/>
        </w:rPr>
      </w:pPr>
      <w:r>
        <w:rPr>
          <w:rFonts w:ascii="Times New Roman" w:hAnsi="Times New Roman"/>
          <w:color w:val="000000"/>
          <w:sz w:val="20"/>
        </w:rPr>
        <w:t>On May 27, 2026, the Company's Board of Directors authorized a share repurchase program for a total of $50.0 million commencing July 1, 2026 through June 30, 2027. There were no shares repurchased during the three months ended July 31, 2026. As of July 31, 2026, there was $50.0 million available for repurchases under the repurchase program through June 30, 2027.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classification of stock-based compensation for the periods indicated:</w:t>
      </w:r>
    </w:p>
    <w:p>
      <w:pPr>
        <w:pStyle w:val="TextBody"/>
        <w:bidi w:val="0"/>
        <w:jc w:val="left"/>
        <w:rPr/>
      </w:pPr>
      <w:r>
        <w:rPr/>
        <w:t> </w:t>
      </w:r>
    </w:p>
    <w:tbl>
      <w:tblPr>
        <w:tblW w:w="8285" w:type="dxa"/>
        <w:jc w:val="left"/>
        <w:tblInd w:w="0" w:type="dxa"/>
        <w:tblLayout w:type="fixed"/>
        <w:tblCellMar>
          <w:top w:w="28" w:type="dxa"/>
          <w:left w:w="28" w:type="dxa"/>
          <w:bottom w:w="28" w:type="dxa"/>
          <w:right w:w="28" w:type="dxa"/>
        </w:tblCellMar>
      </w:tblPr>
      <w:tblGrid>
        <w:gridCol w:w="3156"/>
        <w:gridCol w:w="146"/>
        <w:gridCol w:w="228"/>
        <w:gridCol w:w="731"/>
        <w:gridCol w:w="158"/>
        <w:gridCol w:w="158"/>
        <w:gridCol w:w="228"/>
        <w:gridCol w:w="731"/>
        <w:gridCol w:w="146"/>
        <w:gridCol w:w="146"/>
        <w:gridCol w:w="211"/>
        <w:gridCol w:w="676"/>
        <w:gridCol w:w="146"/>
        <w:gridCol w:w="146"/>
        <w:gridCol w:w="211"/>
        <w:gridCol w:w="676"/>
        <w:gridCol w:w="3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14,007</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7,742</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22,700</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July 31, 2026, approximately $2.5 million of stock-based compensation expense was accrued in accrued and other current liabilities in the condensed consolidated balance sheets. Total unrecognized compensation cost of unvested awards at July 31, 2026 was approximately $174.1 million and is expected to be recognized over a weighted-average period of 2.50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weighted-average assumptions used to estimate the fair value of employee stock purchase plan awards for the periods indicated: </w:t>
      </w:r>
    </w:p>
    <w:p>
      <w:pPr>
        <w:pStyle w:val="TextBody"/>
        <w:bidi w:val="0"/>
        <w:jc w:val="left"/>
        <w:rPr/>
      </w:pPr>
      <w:r>
        <w:rPr/>
        <w:t> </w:t>
      </w:r>
    </w:p>
    <w:tbl>
      <w:tblPr>
        <w:tblW w:w="8480" w:type="dxa"/>
        <w:jc w:val="left"/>
        <w:tblInd w:w="0" w:type="dxa"/>
        <w:tblLayout w:type="fixed"/>
        <w:tblCellMar>
          <w:top w:w="28" w:type="dxa"/>
          <w:left w:w="28" w:type="dxa"/>
          <w:bottom w:w="28" w:type="dxa"/>
          <w:right w:w="28" w:type="dxa"/>
        </w:tblCellMar>
      </w:tblPr>
      <w:tblGrid>
        <w:gridCol w:w="3256"/>
        <w:gridCol w:w="146"/>
        <w:gridCol w:w="255"/>
        <w:gridCol w:w="606"/>
        <w:gridCol w:w="255"/>
        <w:gridCol w:w="255"/>
        <w:gridCol w:w="255"/>
        <w:gridCol w:w="606"/>
        <w:gridCol w:w="146"/>
        <w:gridCol w:w="146"/>
        <w:gridCol w:w="181"/>
        <w:gridCol w:w="579"/>
        <w:gridCol w:w="337"/>
        <w:gridCol w:w="181"/>
        <w:gridCol w:w="181"/>
        <w:gridCol w:w="579"/>
        <w:gridCol w:w="5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stock option activities for the period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0"/>
        <w:gridCol w:w="146"/>
        <w:gridCol w:w="146"/>
        <w:gridCol w:w="781"/>
        <w:gridCol w:w="166"/>
        <w:gridCol w:w="146"/>
        <w:gridCol w:w="278"/>
        <w:gridCol w:w="759"/>
        <w:gridCol w:w="146"/>
        <w:gridCol w:w="146"/>
        <w:gridCol w:w="931"/>
        <w:gridCol w:w="146"/>
        <w:gridCol w:w="293"/>
        <w:gridCol w:w="764"/>
        <w:gridCol w:w="146"/>
        <w:gridCol w:w="146"/>
        <w:gridCol w:w="234"/>
        <w:gridCol w:w="757"/>
        <w:gridCol w:w="146"/>
        <w:gridCol w:w="146"/>
        <w:gridCol w:w="285"/>
        <w:gridCol w:w="773"/>
        <w:gridCol w:w="394"/>
      </w:tblGrid>
      <w:tr>
        <w:trPr/>
        <w:tc>
          <w:tcPr>
            <w:tcW w:w="2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5"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w:t>
            </w:r>
            <w:r>
              <w:rPr>
                <w:rFonts w:ascii="Times New Roman" w:hAnsi="Times New Roman"/>
                <w:color w:val="000000"/>
                <w:sz w:val="16"/>
              </w:rPr>
              <w:t xml:space="preserve"> </w:t>
            </w:r>
            <w:r>
              <w:rPr>
                <w:rFonts w:ascii="Times New Roman" w:hAnsi="Times New Roman"/>
                <w:b/>
                <w:color w:val="000000"/>
                <w:sz w:val="16"/>
              </w:rPr>
              <w:t>Intrinsic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Exercise</w:t>
            </w:r>
            <w:r>
              <w:rPr>
                <w:rFonts w:ascii="Times New Roman" w:hAnsi="Times New Roman"/>
                <w:color w:val="000000"/>
                <w:sz w:val="16"/>
              </w:rPr>
              <w:t xml:space="preserve"> </w:t>
            </w: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w:t>
            </w:r>
            <w:r>
              <w:rPr>
                <w:rFonts w:ascii="Times New Roman" w:hAnsi="Times New Roman"/>
                <w:color w:val="000000"/>
                <w:sz w:val="16"/>
              </w:rPr>
              <w:t xml:space="preserve"> </w:t>
            </w:r>
            <w:r>
              <w:rPr>
                <w:rFonts w:ascii="Times New Roman" w:hAnsi="Times New Roman"/>
                <w:b/>
                <w:color w:val="000000"/>
                <w:sz w:val="16"/>
              </w:rP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w:t>
            </w:r>
            <w:r>
              <w:rPr>
                <w:rFonts w:ascii="Times New Roman" w:hAnsi="Times New Roman"/>
                <w:color w:val="000000"/>
                <w:sz w:val="16"/>
              </w:rPr>
              <w:t xml:space="preserve"> </w:t>
            </w:r>
            <w:r>
              <w:rPr>
                <w:rFonts w:ascii="Times New Roman" w:hAnsi="Times New Roman"/>
                <w:b/>
                <w:color w:val="000000"/>
                <w:sz w:val="16"/>
              </w:rPr>
              <w:t>thousands)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intrinsic value of options outstanding and exercisable is calculated based on the difference between the fair market value of the Company’s ordinary shares on the reporting date and the exercise price. The closing price of the Company’s ordinary shares on July 31, 2026 was $86.00, as reported by The Nasdaq Global Select Market. The intrinsic value of exercised options is calculated based on the difference between the fair market value of the Company’s ordinary shares on the exercise date and the exercise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restricted stock unit activities for the period indicated:</w:t>
      </w:r>
    </w:p>
    <w:p>
      <w:pPr>
        <w:pStyle w:val="TextBody"/>
        <w:bidi w:val="0"/>
        <w:jc w:val="left"/>
        <w:rPr/>
      </w:pPr>
      <w:r>
        <w:rPr/>
        <w:t> </w:t>
      </w:r>
    </w:p>
    <w:tbl>
      <w:tblPr>
        <w:tblW w:w="5408" w:type="dxa"/>
        <w:jc w:val="left"/>
        <w:tblInd w:w="0" w:type="dxa"/>
        <w:tblLayout w:type="fixed"/>
        <w:tblCellMar>
          <w:top w:w="28" w:type="dxa"/>
          <w:left w:w="28" w:type="dxa"/>
          <w:bottom w:w="28" w:type="dxa"/>
          <w:right w:w="28" w:type="dxa"/>
        </w:tblCellMar>
      </w:tblPr>
      <w:tblGrid>
        <w:gridCol w:w="2521"/>
        <w:gridCol w:w="146"/>
        <w:gridCol w:w="146"/>
        <w:gridCol w:w="931"/>
        <w:gridCol w:w="166"/>
        <w:gridCol w:w="146"/>
        <w:gridCol w:w="258"/>
        <w:gridCol w:w="703"/>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Grant-Date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July 31, 2026, the aggregate intrinsic value of unvested restricted stock units was $246.3 million.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Net Loss Per Ordinary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ordinary share for the periods indicated:</w:t>
      </w:r>
    </w:p>
    <w:p>
      <w:pPr>
        <w:pStyle w:val="TextBody"/>
        <w:bidi w:val="0"/>
        <w:jc w:val="left"/>
        <w:rPr/>
      </w:pPr>
      <w:r>
        <w:rPr/>
        <w:t> </w:t>
      </w:r>
    </w:p>
    <w:tbl>
      <w:tblPr>
        <w:tblW w:w="10097" w:type="dxa"/>
        <w:jc w:val="left"/>
        <w:tblInd w:w="0" w:type="dxa"/>
        <w:tblLayout w:type="fixed"/>
        <w:tblCellMar>
          <w:top w:w="28" w:type="dxa"/>
          <w:left w:w="28" w:type="dxa"/>
          <w:bottom w:w="28" w:type="dxa"/>
          <w:right w:w="28" w:type="dxa"/>
        </w:tblCellMar>
      </w:tblPr>
      <w:tblGrid>
        <w:gridCol w:w="3616"/>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data)</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ordinary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44,005,576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42,546,979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43,805,429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42,383,475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ordinary shares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44,005,576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42,546,979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43,805,429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42,383,475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ordinary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weighted-average potentially dilutive securities were excluded from the computation of diluted net loss per ordinary share as their effect would have been antidilutive: </w:t>
      </w:r>
    </w:p>
    <w:p>
      <w:pPr>
        <w:pStyle w:val="TextBody"/>
        <w:bidi w:val="0"/>
        <w:jc w:val="left"/>
        <w:rPr/>
      </w:pPr>
      <w:r>
        <w:rPr/>
        <w:t> </w:t>
      </w:r>
    </w:p>
    <w:tbl>
      <w:tblPr>
        <w:tblW w:w="8175" w:type="dxa"/>
        <w:jc w:val="left"/>
        <w:tblInd w:w="0" w:type="dxa"/>
        <w:tblLayout w:type="fixed"/>
        <w:tblCellMar>
          <w:top w:w="28" w:type="dxa"/>
          <w:left w:w="28" w:type="dxa"/>
          <w:bottom w:w="28" w:type="dxa"/>
          <w:right w:w="28" w:type="dxa"/>
        </w:tblCellMar>
      </w:tblPr>
      <w:tblGrid>
        <w:gridCol w:w="3016"/>
        <w:gridCol w:w="146"/>
        <w:gridCol w:w="152"/>
        <w:gridCol w:w="813"/>
        <w:gridCol w:w="152"/>
        <w:gridCol w:w="152"/>
        <w:gridCol w:w="152"/>
        <w:gridCol w:w="813"/>
        <w:gridCol w:w="146"/>
        <w:gridCol w:w="146"/>
        <w:gridCol w:w="146"/>
        <w:gridCol w:w="931"/>
        <w:gridCol w:w="146"/>
        <w:gridCol w:w="146"/>
        <w:gridCol w:w="146"/>
        <w:gridCol w:w="78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41,927</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536,392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717,380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26,607</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604,926</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751,967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809,823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details of income taxes for the periods indicated:</w:t>
      </w:r>
    </w:p>
    <w:p>
      <w:pPr>
        <w:pStyle w:val="TextBody"/>
        <w:bidi w:val="0"/>
        <w:jc w:val="left"/>
        <w:rPr/>
      </w:pPr>
      <w:r>
        <w:rPr/>
        <w:t> </w:t>
      </w:r>
    </w:p>
    <w:tbl>
      <w:tblPr>
        <w:tblW w:w="7389" w:type="dxa"/>
        <w:jc w:val="left"/>
        <w:tblInd w:w="0" w:type="dxa"/>
        <w:tblLayout w:type="fixed"/>
        <w:tblCellMar>
          <w:top w:w="28" w:type="dxa"/>
          <w:left w:w="28" w:type="dxa"/>
          <w:bottom w:w="28" w:type="dxa"/>
          <w:right w:w="28" w:type="dxa"/>
        </w:tblCellMar>
      </w:tblPr>
      <w:tblGrid>
        <w:gridCol w:w="2281"/>
        <w:gridCol w:w="146"/>
        <w:gridCol w:w="224"/>
        <w:gridCol w:w="671"/>
        <w:gridCol w:w="176"/>
        <w:gridCol w:w="155"/>
        <w:gridCol w:w="224"/>
        <w:gridCol w:w="783"/>
        <w:gridCol w:w="166"/>
        <w:gridCol w:w="146"/>
        <w:gridCol w:w="211"/>
        <w:gridCol w:w="736"/>
        <w:gridCol w:w="166"/>
        <w:gridCol w:w="146"/>
        <w:gridCol w:w="211"/>
        <w:gridCol w:w="736"/>
        <w:gridCol w:w="2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increases in income tax expense for the three and six months ended July 31, 2026, as compared to the same periods in the prior fiscal year, were primarily due to decreases in loss before income taxes in the current fiscal year.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files federal and state income tax returns in the United States and in various foreign jurisdictions. The Company’s fiscal years 2023 through 2026 are generally open and subject to potential examination by U.S. federal tax authorities. The Company’s fiscal years 2022 through 2026 are generally open and subject to potential examination by state tax authorities. The Company’s fiscal years 2019 to 2026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regularly assesses the likelihood of adverse outcomes resulting from potential tax examinations to determine the adequacy of its provision for income taxes. These assessments can require considerable estimates and judgments. As of July 31, 2026, the gross amount of unrecognized tax benefits was approximately $18.9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14. Commitments and Contingencies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Contract Manufacturer Commitments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July 31, 2026 and January 31, 2026, total manufacturing purchase commitments were approximately $49.0 million and $80.4 million, respectively. On a quarterly basis, the Company also reviews and assesses the need for any expected loss liabilities for products that it does not expect to sell for which it has committed purchases from suppliers and records the liabilities in accrued and other current liabilities in the condensed consolidated balance sheets. There were no material loss liabilities recorded in the condensed consolidated balance sheets from adverse purchase commitments as of July 31, 2026 and January 31, 2026, respectively.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other commitments as compared to the other commitments described in the Company's Annual Report on Form 10-K for the 2026 fiscal year filed with the SEC on March 23, 2026.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as of July 31, 2026, and no liabilities have been recorded for these obligations in the condensed consolidated balance sheets as of July 31, 2026 and January 31, 2026, respectively.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time to time, the Company is subject to commercial disputes, employment issues, intellectual property claims and litigation, in the ordinary course of its business. Although the ultimate disposition of asserted claims cannot be predicted with certainty, it is the Company’s belief that the outcome of any such claims, either individually or on a combined basis, will not have a material adverse effect on its consolidated financial position. The results of any litigation cannot be predicted with certainty, and regardless of the outcome, litigation can have an adverse impact on the Company because of defense and settlement costs, diversion of management resources, and other factors. As of July 31, 2026 and January 31, 2026, there were no accruals for contingent liabilities related to such matters recorded in the condensed consolidated balance sheets.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15. Segment Reporting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operates as a single operating and reportable segment and derives substantially all of its revenue from development and sales of low-power AI-based processing and video and image processing SoC solutions. In determining the reportable segment, the Company considers the research and development deployed, the nature of the production process, the distribution channels of SoCs, as well as the Company’s management structure. The Chief Executive Officer of the Company has been identified as the Chief Operating Decision Maker (the CODM) and manages the Company’s operations as a whole. The CODM uses net loss presented on a consolidated basis to evaluate the financial performance and allocate resources. The CODM also monitors budget versus actual results of the operating segment. The measure of reportable segment assets is reported within the condensed consolidated balance sheets as total assets. The accounting policies for the measurement of net loss and total assets of the reportable segment are described in the Note 1, </w:t>
      </w:r>
      <w:r>
        <w:rPr>
          <w:rFonts w:ascii="Times New Roman" w:hAnsi="Times New Roman"/>
          <w:i/>
          <w:color w:val="000000"/>
          <w:sz w:val="20"/>
        </w:rPr>
        <w:t xml:space="preserve">Organization and Summary of Significant Accounting Policies </w:t>
      </w:r>
      <w:r>
        <w:rPr>
          <w:rFonts w:ascii="Times New Roman" w:hAnsi="Times New Roman"/>
          <w:color w:val="000000"/>
          <w:sz w:val="20"/>
        </w:rPr>
        <w:t xml:space="preserve">of the Notes to Consolidated Financial Statements included in the Company's Annual Report on Form 10-K for the 2026 fiscal year filed with the SEC on March 23, 2026.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Geographic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Company’s revenue by geographic region based on bill-to location for the periods indicated. </w:t>
      </w:r>
    </w:p>
    <w:tbl>
      <w:tblPr>
        <w:tblW w:w="8640" w:type="dxa"/>
        <w:jc w:val="left"/>
        <w:tblInd w:w="0" w:type="dxa"/>
        <w:tblLayout w:type="fixed"/>
        <w:tblCellMar>
          <w:top w:w="28" w:type="dxa"/>
          <w:left w:w="28" w:type="dxa"/>
          <w:bottom w:w="28" w:type="dxa"/>
          <w:right w:w="28" w:type="dxa"/>
        </w:tblCellMar>
      </w:tblPr>
      <w:tblGrid>
        <w:gridCol w:w="3301"/>
        <w:gridCol w:w="146"/>
        <w:gridCol w:w="217"/>
        <w:gridCol w:w="804"/>
        <w:gridCol w:w="150"/>
        <w:gridCol w:w="150"/>
        <w:gridCol w:w="217"/>
        <w:gridCol w:w="696"/>
        <w:gridCol w:w="146"/>
        <w:gridCol w:w="146"/>
        <w:gridCol w:w="211"/>
        <w:gridCol w:w="781"/>
        <w:gridCol w:w="146"/>
        <w:gridCol w:w="146"/>
        <w:gridCol w:w="211"/>
        <w:gridCol w:w="781"/>
        <w:gridCol w:w="3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Taiwan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65,118</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 other than Taiwan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 other than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108,125</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Substantially all of the Company’s property and equipment were located in the United States, Taiwan, Europe and Asia Pacific region other than Taiwan. As of July 31, 2026, the net amount of fixed assets located in these regions was approximately $7.0 million, $3.7 million, $1.1 million and $0.3 million, respectively. As of January 31, 2026, the net amount of these fixed assets located in these regions was approximately $6.6 million, $3.6 million, $1.1 million and $0.3 million, respectively. </w:t>
      </w:r>
    </w:p>
    <w:p>
      <w:pPr>
        <w:pStyle w:val="TextBody"/>
        <w:bidi w:val="0"/>
        <w:jc w:val="left"/>
        <w:rPr>
          <w:rFonts w:ascii="Times New Roman" w:hAnsi="Times New Roman"/>
          <w:b/>
          <w:i/>
          <w:color w:val="000000"/>
          <w:sz w:val="20"/>
        </w:rPr>
      </w:pPr>
      <w:r>
        <w:rPr>
          <w:rFonts w:ascii="Times New Roman" w:hAnsi="Times New Roman"/>
          <w:b/>
          <w:i/>
          <w:color w:val="000000"/>
          <w:sz w:val="20"/>
        </w:rPr>
        <w:t>Additional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significant segment expenses included in the condensed consolidated net loss for the periods indicated:</w:t>
      </w:r>
    </w:p>
    <w:p>
      <w:pPr>
        <w:pStyle w:val="TextBody"/>
        <w:bidi w:val="0"/>
        <w:spacing w:before="120" w:after="283"/>
        <w:jc w:val="left"/>
        <w:rPr/>
      </w:pPr>
      <w:r>
        <w:rPr/>
        <w:t> </w:t>
      </w:r>
    </w:p>
    <w:tbl>
      <w:tblPr>
        <w:tblW w:w="8632" w:type="dxa"/>
        <w:jc w:val="left"/>
        <w:tblInd w:w="0" w:type="dxa"/>
        <w:tblLayout w:type="fixed"/>
        <w:tblCellMar>
          <w:top w:w="28" w:type="dxa"/>
          <w:left w:w="28" w:type="dxa"/>
          <w:bottom w:w="28" w:type="dxa"/>
          <w:right w:w="28" w:type="dxa"/>
        </w:tblCellMar>
      </w:tblPr>
      <w:tblGrid>
        <w:gridCol w:w="3036"/>
        <w:gridCol w:w="346"/>
        <w:gridCol w:w="211"/>
        <w:gridCol w:w="781"/>
        <w:gridCol w:w="166"/>
        <w:gridCol w:w="146"/>
        <w:gridCol w:w="211"/>
        <w:gridCol w:w="736"/>
        <w:gridCol w:w="166"/>
        <w:gridCol w:w="146"/>
        <w:gridCol w:w="211"/>
        <w:gridCol w:w="781"/>
        <w:gridCol w:w="166"/>
        <w:gridCol w:w="146"/>
        <w:gridCol w:w="211"/>
        <w:gridCol w:w="781"/>
        <w:gridCol w:w="391"/>
      </w:tblGrid>
      <w:tr>
        <w:trPr/>
        <w:tc>
          <w:tcPr>
            <w:tcW w:w="3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Less cost and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cost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Employee-related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Semiconductor development cost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Tools &amp;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Facilities-related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segment items (a)</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 The other segment items include a reduction to research and development expense associated with the release of a deposit liability following a development project termination, amortization of intangible assets acquired from business combinations, non-operating (income) expenses, income tax provision (benefit) and other immaterial items.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Major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July 31, 2026, the customers representing 10% or more of revenue were WT and Hakuto, which accounted for approximately 60.2% and 11.0% of total revenue for the three months ended July 31, 2026, respectively, and accounted for approximately 60.5% and 10.1% of total revenue for the six months ended July 31, 2026, respectively. For the three and six months ended July 31, 2025, the customer representing 10% or more of revenue was WT, which accounted for approximately 71.3% and 67.4% of total revenue, respectively. As of July 31, 2026, accounts receivable with WT and Hakuto were approximately $17.2 million and $4.8 million, respectively. Accounts receivable with WT was approximately $24.6 million as of January 31, 2026. </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16.</w:t>
      </w:r>
      <w:r>
        <w:rPr>
          <w:rFonts w:ascii="Times New Roman" w:hAnsi="Times New Roman"/>
          <w:color w:val="000000"/>
          <w:sz w:val="20"/>
        </w:rPr>
        <w:t xml:space="preserve"> </w:t>
      </w:r>
      <w:r>
        <w:rPr>
          <w:rFonts w:ascii="Times New Roman" w:hAnsi="Times New Roman"/>
          <w:b/>
          <w:color w:val="000000"/>
          <w:sz w:val="20"/>
        </w:rPr>
        <w:t>Subsequent Events</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During the second fiscal quarter ended July 31, 2026, the Company's shareholders approved an increase of 2,750,000 ordinary shares available for issuance under the existing Amended and Restated 2021 Equity Incentive Plan. The shares were registered with the Securities and Exchange Commission (SEC) on August 3, 2026 by filing a Registration Statement in Form S-8 under the United States Securities Act of 1933.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managements_discussion_and_analysis"/>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2026 and management’s discussion and analysis of our financial condition and results of operations included in our Annual Report on Form 10-K for the 2026 fiscal year filed with the Securities and Exchange Commission, or SEC, on March 23,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operating expenses, and cost recognition,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risks associated with the overall economy, including higher inflation and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artificial intelligence and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leading developer of low power system on a chip (SoC) semiconductors and software that enable advanced edge and physical AI applications. Our solutions combine state of the art video processing, high resolution image capture, and our proprietary CVflow® AI acceleration architecture to deliver high performance at extremely low power. Historically, our technologies supported human viewing applications such as enterprise, public infrastructure, and home security cameras, as well as sports cameras, wearables, aerial drones, and aftermarket automotive recorders. Building on this foundation, our recent product generations incorporate advanced AI inference capabilities that allow edge devices to interpret complex scenes, perform multi modal sensor fusion, and support autonomous decision making.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latest SoC families integrate third generation CVflow technology with advanced video processing, image signal processing, audio processing, and system control functions on a single chip. CVflow is optimized for a broad range of AI inference workloads, including object detection, classification, tracking, segmentation, stereo depth processing, radar perception, and transformer based models. This architecture supports multi modal sensor inputs, including camera, lidar, 4D radar, thermal, and near infrared, enabling environmental perception for edge devices. These capabilities allow our customers to deploy differentiated AI models and solutions across applications, such as next generation automotive camera systems, video security, robotics, and consumer devices, while achieving high image quality, low latency, and low power consumption.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development roadmap is focused on human viewing, AI inference, and radar based perception technologies that support the increasing automation and intelligence requirements of the Internet of Things (IoT), automotive, industrial, and robotics markets. As a result, we believe that our future revenue growth, if any, will significantly depend upon our ability to expand within camera markets with our AI technology, particularly in the Internet of Things, or IoT, markets, as well as emerging markets such as AI-enabled security cameras, AI-based driving applications, including driver monitoring systems, advanced blind spot detection, object detection, and deep learning algorithms for HD mapping solutions, automotive advanced driver assistance systems, or ADAS, applications, and industrial and robotics markets. We expect our research and development expenditures to increase in comparison to prior periods as we devote additional resources to the development of innovative AI inference SoCs with increased functionality, and as we target new markets.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sell our SoC solutions to leading original design manufacturers, or ODMs, and original equipment manufacturers, or OEMs, globally, and in the automotive market, we also sell to Tier-1 suppliers. We refer to ODMs and Tier-1 automotive suppliers as our customers and OEMs as our end customers, except as otherwise indicated or as the context otherwise requires.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Volume production may begin within 12 to 18 months after a design win, but could be longer in certain markets, depending on the complexity of our customer’s product and other factors upon which we may have little or no influence. In general, design cycles will be longer in the OEM automotive and industrial and robotics markets than in the IoT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An IoT product typically has a life cycle of 12 to 24 months. We anticipate that product life cycles will typically be longer than 24 months in the OEM automotive and industrial and robotics markets, as new product introductions occur less frequently in these markets.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revenue of $108.1 million and $208.5 million for the three and six months ended July 31, 2026, respectively. This represented increases of 13.2% and 14.9%, respectively, as compared to the same periods in the prior fiscal year. The increases in revenue were primarily attributable to higher product unit shipments from our high priced AI inference processors.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recorded operating losses of $8.1 million and $27.6 million for the three and six months ended July 31, 2026, respectively, as compared to operating losses of $22.0 million and $47.8 million for the three and six months ended July 31, 2025, respectively. The reductions in operating losses were primarily attributable to higher revenue and consequently, higher gross profit, as well as lower operating expenses. The decreases in operating expenses primarily related to a $9.0 million reduction to research and development expense associated with the release of a deposit liability following a development project termination, partially offset by higher engineering-related costs associated with the progress and number of chips in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cash outflows from operating activities of $25.9 million for the six months ended July 31, 2026, as compared to cash inflows of $20.3 million for the six months ended July 31, 2025. The decrease in cash flows from operating activities was mainly driven by higher cash outflows from changes in working capital, primarily due to increased inventory purchases, partially offset by improved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27, 2026, the Company's Board of Directors authorized a share repurchase program for a total of $50.0 million commencing July 1, 2026 through June 30, 2027. There were no shares repurchased during the three months ended July 31, 2026. As of July 31, 2026, there was $50.0 million available for repurchases under the repurchase program through June 30, 2027.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Ability to Capitalize on AI and Computer Vision Trends.</w:t>
      </w:r>
      <w:r>
        <w:rPr>
          <w:rFonts w:ascii="Times New Roman" w:hAnsi="Times New Roman"/>
          <w:color w:val="000000"/>
          <w:sz w:val="20"/>
        </w:rPr>
        <w:t xml:space="preserve"> We expect that AI and computer vision functionality will become an increasingly important requirement in many of our current and future markets, including IoT, automotive, industrial and robotics markets. As a result, we believe that our ability to develop advanced AI and computer vision technologies,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IoT, automotive, industrial and robotics markets, is vital to our ability to generate revenue growth. As such, we closely monitor our design wins with our customers. However, a design win may not successfully materialize into revenue, and even if it does result in revenue, the amount generated by each design win can vary significantly.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Ability to Develop and Introduce New or Enhanced Solutions.</w:t>
      </w:r>
      <w:r>
        <w:rPr>
          <w:rFonts w:ascii="Times New Roman" w:hAnsi="Times New Roman"/>
          <w:color w:val="000000"/>
          <w:sz w:val="20"/>
        </w:rPr>
        <w:t xml:space="preserve"> We operate in a dynamic environment characterized by rapidly changing technologies and technological obsolescence. To compete successfully, we must design, develop, market and sell enhanced solutions with increased levels of performance and functionality that meet the expectations of our customers, including advanced process technologies.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In addition, our ability to successfully develop new and enhanced solutions depends on our continuing ability to hire, train, motivate and retain highly skilled engineers, which is not ensured. Moreover, any reliability or quality problems with our solutions could harm our reputation, increase additional development and replacement costs, and prevent us from retaining existing customers and attracting new customers.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Pricing, Product Cost and Margin.</w:t>
      </w:r>
      <w:r>
        <w:rPr>
          <w:rFonts w:ascii="Times New Roman" w:hAnsi="Times New Roman"/>
          <w:color w:val="000000"/>
          <w:sz w:val="20"/>
        </w:rPr>
        <w:t xml:space="preserve"> Our pricing and margins depend on a variety of factors, including the volumes and features of the solutions we provide to our customers. 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the launch of new products by us or our competitors, and by product mix.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Continued Concentration of Revenue by End Markets.</w:t>
      </w:r>
      <w:r>
        <w:rPr>
          <w:rFonts w:ascii="Times New Roman" w:hAnsi="Times New Roman"/>
          <w:color w:val="000000"/>
          <w:sz w:val="20"/>
        </w:rPr>
        <w:t xml:space="preserve"> Historically, our revenue has been significantly concentrated in a small number of end markets and we developed technologies to provide solutions for new markets as they emerged. Since fiscal year 2018, the IoT markets and automotive markets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markets will continue to account for a significant percentage of our total revenue for the foreseeable future. Our concentration in a limited number of markets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Sales Volume.</w:t>
      </w:r>
      <w:r>
        <w:rPr>
          <w:rFonts w:ascii="Times New Roman" w:hAnsi="Times New Roman"/>
          <w:color w:val="000000"/>
          <w:sz w:val="20"/>
        </w:rPr>
        <w:t xml:space="preserve"> A typical design win that successfully launches into the marketplace can generate a wide range of sales volumes for our solutions, 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Customer Product Life Cycle.</w:t>
      </w:r>
      <w:r>
        <w:rPr>
          <w:rFonts w:ascii="Times New Roman" w:hAnsi="Times New Roman"/>
          <w:color w:val="000000"/>
          <w:sz w:val="20"/>
        </w:rPr>
        <w:t xml:space="preserve"> We estimate our customers’ product life cycles based on the customer, type of product and end market. We typically commence commercial shipments from 12 to 18 months following a design win; however, in some markets, lengthier product and development cycles are possible, depending on the scope and nature of the project, such as in the automotive market. An IoT product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Impact of Global Supply Chain Conditions on Our Business.</w:t>
      </w:r>
      <w:r>
        <w:rPr>
          <w:rFonts w:ascii="Times New Roman" w:hAnsi="Times New Roman"/>
          <w:color w:val="000000"/>
          <w:sz w:val="20"/>
        </w:rPr>
        <w:t xml:space="preserve"> The semiconductor industry has faced significant global supply chain challenges over the past few years. Supply chain issues can impact our business as they relate to both our suppliers and our customers. Recently, there have been tightening supply conditions for memory chip components that our customers use in their end products, which could have an impact on their demand for our products. With constant changes in the macro-economic environment, including potential retaliatory tariffs and restrictions on exports to foreign locations due to the recent imposition of tariffs by the U.S. Government on imports, we anticipate that supply chain challenges may recur in future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a summary of our statement of operations for the periods indicated:</w:t>
      </w:r>
    </w:p>
    <w:p>
      <w:pPr>
        <w:pStyle w:val="TextBody"/>
        <w:bidi w:val="0"/>
        <w:jc w:val="left"/>
        <w:rPr/>
      </w:pPr>
      <w:r>
        <w:rPr/>
        <w:t> </w:t>
      </w:r>
    </w:p>
    <w:tbl>
      <w:tblPr>
        <w:tblW w:w="8752" w:type="dxa"/>
        <w:jc w:val="left"/>
        <w:tblInd w:w="0" w:type="dxa"/>
        <w:tblLayout w:type="fixed"/>
        <w:tblCellMar>
          <w:top w:w="28" w:type="dxa"/>
          <w:left w:w="28" w:type="dxa"/>
          <w:bottom w:w="28" w:type="dxa"/>
          <w:right w:w="28" w:type="dxa"/>
        </w:tblCellMar>
      </w:tblPr>
      <w:tblGrid>
        <w:gridCol w:w="3156"/>
        <w:gridCol w:w="146"/>
        <w:gridCol w:w="211"/>
        <w:gridCol w:w="781"/>
        <w:gridCol w:w="166"/>
        <w:gridCol w:w="146"/>
        <w:gridCol w:w="211"/>
        <w:gridCol w:w="736"/>
        <w:gridCol w:w="166"/>
        <w:gridCol w:w="146"/>
        <w:gridCol w:w="211"/>
        <w:gridCol w:w="781"/>
        <w:gridCol w:w="166"/>
        <w:gridCol w:w="146"/>
        <w:gridCol w:w="211"/>
        <w:gridCol w:w="781"/>
        <w:gridCol w:w="5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181,383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107,767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118,553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operating results as a percentage of revenue of each line item for the periods indicated:</w:t>
      </w:r>
    </w:p>
    <w:p>
      <w:pPr>
        <w:pStyle w:val="TextBody"/>
        <w:bidi w:val="0"/>
        <w:jc w:val="left"/>
        <w:rPr/>
      </w:pPr>
      <w:r>
        <w:rPr/>
        <w:t> </w:t>
      </w:r>
    </w:p>
    <w:tbl>
      <w:tblPr>
        <w:tblW w:w="8768" w:type="dxa"/>
        <w:jc w:val="left"/>
        <w:tblInd w:w="0" w:type="dxa"/>
        <w:tblLayout w:type="fixed"/>
        <w:tblCellMar>
          <w:top w:w="28" w:type="dxa"/>
          <w:left w:w="28" w:type="dxa"/>
          <w:bottom w:w="28" w:type="dxa"/>
          <w:right w:w="28" w:type="dxa"/>
        </w:tblCellMar>
      </w:tblPr>
      <w:tblGrid>
        <w:gridCol w:w="3156"/>
        <w:gridCol w:w="146"/>
        <w:gridCol w:w="229"/>
        <w:gridCol w:w="497"/>
        <w:gridCol w:w="261"/>
        <w:gridCol w:w="426"/>
        <w:gridCol w:w="229"/>
        <w:gridCol w:w="591"/>
        <w:gridCol w:w="166"/>
        <w:gridCol w:w="271"/>
        <w:gridCol w:w="201"/>
        <w:gridCol w:w="518"/>
        <w:gridCol w:w="228"/>
        <w:gridCol w:w="373"/>
        <w:gridCol w:w="201"/>
        <w:gridCol w:w="518"/>
        <w:gridCol w:w="166"/>
        <w:gridCol w:w="5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derive substantially all of our revenue from the sale of low power AI-based processing and video and image processing SoC solutions to IoT OEMs, IoT ODMs, automotive OEMs or Tier-1 automotive suppliers, either directly or through our distributors. A substantial portion of our revenue from sales was made indirectly through two of our distributors, WT Microelectronics Co., Ltd., formerly Wintech Microelectronics Co., Ltd., or WT, which serves as our non-exclusive sales representative and fulfillment partner in Asia other than Japan, and Hakuto Co., Ltd., or Hakuto, a Japanese distributor.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average selling prices fluctuate based on the mix of our solutions sold in a period which reflects the impact of both changes in unit sales of existing solutions as well as the introduction and sales of new solutions. Our AI-based solutions generally have higher selling prices than our traditional video and image processing SoC solutions that do not enable AI functionality. Our solutions are typically characterized by a life cycle that begins with higher average selling prices and lower volumes, followed by broader market adoption, higher volumes and average selling prices that are lower than initial levels.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end markets into which we sell our products have seen significant changes as customer preferences have evolved in response to new technologies. As a result, the composition and timing of our revenue may change in future periods. We expect shifts in use of video capture to continue to change over time, as AI specialized use cases emerge and video capture continues to proliferate.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 and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 reserves, facility cost allocations, amortization of developed technology and software licenses, warranty and other general overhead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our gross margin may fluctuate from period to period as a result of changes in customer mix, average selling price, product mix, the introduction of new products by us or our competitors and changes in the amount of our inventory reserves.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primarily consists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costs of fabrication of mask sets for prototype products, the cost and depreciation of equipment, outside services as well as allocated depreciation and facility expenses. All research and development costs are expensed as incurred. We expect our research and development expense to generally increase in absolute dollars as we continue to enhance and expand our product features and offerings, and increase headcount for new SoC development and development of AI technologies to address new markets.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 primarily consists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such as accounting, tax, or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AI technology, including, but not limited to, costs expected to be incurred on the expansion of an indirect sales channel.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consists primarily of interest income and yields from our cash deposits and debt security investments, subsidies issued by governments, as well as gains and losses from foreign currency transaction remeasurements.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incorporated and domiciled in the Cayman Islands and also conduct business in several locations such as the United States, China, Taiwan, Hong Kong, Italy, South Korea, Germany,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were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Three and Six Months Ended July 31, 2026 and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10333" w:type="dxa"/>
        <w:jc w:val="left"/>
        <w:tblInd w:w="0" w:type="dxa"/>
        <w:tblLayout w:type="fixed"/>
        <w:tblCellMar>
          <w:top w:w="28" w:type="dxa"/>
          <w:left w:w="28" w:type="dxa"/>
          <w:bottom w:w="28" w:type="dxa"/>
          <w:right w:w="28" w:type="dxa"/>
        </w:tblCellMar>
      </w:tblPr>
      <w:tblGrid>
        <w:gridCol w:w="841"/>
        <w:gridCol w:w="146"/>
        <w:gridCol w:w="211"/>
        <w:gridCol w:w="781"/>
        <w:gridCol w:w="146"/>
        <w:gridCol w:w="146"/>
        <w:gridCol w:w="211"/>
        <w:gridCol w:w="676"/>
        <w:gridCol w:w="146"/>
        <w:gridCol w:w="146"/>
        <w:gridCol w:w="211"/>
        <w:gridCol w:w="676"/>
        <w:gridCol w:w="146"/>
        <w:gridCol w:w="146"/>
        <w:gridCol w:w="146"/>
        <w:gridCol w:w="466"/>
        <w:gridCol w:w="271"/>
        <w:gridCol w:w="146"/>
        <w:gridCol w:w="211"/>
        <w:gridCol w:w="781"/>
        <w:gridCol w:w="146"/>
        <w:gridCol w:w="146"/>
        <w:gridCol w:w="211"/>
        <w:gridCol w:w="781"/>
        <w:gridCol w:w="146"/>
        <w:gridCol w:w="146"/>
        <w:gridCol w:w="211"/>
        <w:gridCol w:w="676"/>
        <w:gridCol w:w="146"/>
        <w:gridCol w:w="146"/>
        <w:gridCol w:w="146"/>
        <w:gridCol w:w="466"/>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0"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increased for the three and six months ended July 31, 2026, as compared to the same periods in the prior fiscal year, primarily due to higher product unit shipments from our high priced AI inference processors.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Gross Margin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29"/>
        <w:gridCol w:w="146"/>
        <w:gridCol w:w="192"/>
        <w:gridCol w:w="614"/>
        <w:gridCol w:w="357"/>
        <w:gridCol w:w="192"/>
        <w:gridCol w:w="192"/>
        <w:gridCol w:w="614"/>
        <w:gridCol w:w="271"/>
        <w:gridCol w:w="146"/>
        <w:gridCol w:w="205"/>
        <w:gridCol w:w="486"/>
        <w:gridCol w:w="146"/>
        <w:gridCol w:w="146"/>
        <w:gridCol w:w="146"/>
        <w:gridCol w:w="421"/>
        <w:gridCol w:w="324"/>
        <w:gridCol w:w="146"/>
        <w:gridCol w:w="177"/>
        <w:gridCol w:w="566"/>
        <w:gridCol w:w="329"/>
        <w:gridCol w:w="177"/>
        <w:gridCol w:w="177"/>
        <w:gridCol w:w="566"/>
        <w:gridCol w:w="271"/>
        <w:gridCol w:w="146"/>
        <w:gridCol w:w="205"/>
        <w:gridCol w:w="486"/>
        <w:gridCol w:w="146"/>
        <w:gridCol w:w="146"/>
        <w:gridCol w:w="146"/>
        <w:gridCol w:w="421"/>
        <w:gridCol w:w="373"/>
      </w:tblGrid>
      <w:tr>
        <w:trPr/>
        <w:tc>
          <w:tcPr>
            <w:tcW w:w="1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7"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Gross margin decreased for the three and six months ended July 31, 2026, as compared to the same periods in the prior fiscal year, primarily due to higher manufacturing costs associated with advanced process technologies, partially offset by favorable product mix.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jc w:val="left"/>
        <w:rPr/>
      </w:pPr>
      <w:r>
        <w:rPr/>
        <w:t> </w:t>
      </w:r>
    </w:p>
    <w:tbl>
      <w:tblPr>
        <w:tblW w:w="10538" w:type="dxa"/>
        <w:jc w:val="left"/>
        <w:tblInd w:w="0" w:type="dxa"/>
        <w:tblLayout w:type="fixed"/>
        <w:tblCellMar>
          <w:top w:w="28" w:type="dxa"/>
          <w:left w:w="28" w:type="dxa"/>
          <w:bottom w:w="28" w:type="dxa"/>
          <w:right w:w="28" w:type="dxa"/>
        </w:tblCellMar>
      </w:tblPr>
      <w:tblGrid>
        <w:gridCol w:w="1186"/>
        <w:gridCol w:w="146"/>
        <w:gridCol w:w="211"/>
        <w:gridCol w:w="676"/>
        <w:gridCol w:w="146"/>
        <w:gridCol w:w="146"/>
        <w:gridCol w:w="211"/>
        <w:gridCol w:w="676"/>
        <w:gridCol w:w="146"/>
        <w:gridCol w:w="146"/>
        <w:gridCol w:w="211"/>
        <w:gridCol w:w="631"/>
        <w:gridCol w:w="166"/>
        <w:gridCol w:w="146"/>
        <w:gridCol w:w="146"/>
        <w:gridCol w:w="526"/>
        <w:gridCol w:w="271"/>
        <w:gridCol w:w="146"/>
        <w:gridCol w:w="211"/>
        <w:gridCol w:w="781"/>
        <w:gridCol w:w="146"/>
        <w:gridCol w:w="146"/>
        <w:gridCol w:w="211"/>
        <w:gridCol w:w="781"/>
        <w:gridCol w:w="146"/>
        <w:gridCol w:w="146"/>
        <w:gridCol w:w="211"/>
        <w:gridCol w:w="631"/>
        <w:gridCol w:w="166"/>
        <w:gridCol w:w="146"/>
        <w:gridCol w:w="146"/>
        <w:gridCol w:w="421"/>
        <w:gridCol w:w="31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0"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 decreased for the three and six months ended July 31, 2026, as compared to the same periods in the prior fiscal year, primarily due to a $9.0 million reduction to research and development expense associated with the release of a deposit liability following a development project termination in the second quarter of fiscal year 2027, as well as approximately $2.8 million and $4.4 million, respectively, of lower personnel-related expenses as a result of a reduction in headcount. The decreases were partially offset by approximately $2.6 million and $3.5 million, respectively, of additional engineering-related expenses associated with the progress and number of chips in development.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33"/>
        <w:gridCol w:w="146"/>
        <w:gridCol w:w="212"/>
        <w:gridCol w:w="680"/>
        <w:gridCol w:w="147"/>
        <w:gridCol w:w="147"/>
        <w:gridCol w:w="212"/>
        <w:gridCol w:w="680"/>
        <w:gridCol w:w="146"/>
        <w:gridCol w:w="146"/>
        <w:gridCol w:w="211"/>
        <w:gridCol w:w="571"/>
        <w:gridCol w:w="146"/>
        <w:gridCol w:w="146"/>
        <w:gridCol w:w="146"/>
        <w:gridCol w:w="361"/>
        <w:gridCol w:w="271"/>
        <w:gridCol w:w="146"/>
        <w:gridCol w:w="211"/>
        <w:gridCol w:w="676"/>
        <w:gridCol w:w="146"/>
        <w:gridCol w:w="146"/>
        <w:gridCol w:w="211"/>
        <w:gridCol w:w="676"/>
        <w:gridCol w:w="146"/>
        <w:gridCol w:w="146"/>
        <w:gridCol w:w="211"/>
        <w:gridCol w:w="571"/>
        <w:gridCol w:w="146"/>
        <w:gridCol w:w="146"/>
        <w:gridCol w:w="146"/>
        <w:gridCol w:w="361"/>
        <w:gridCol w:w="319"/>
      </w:tblGrid>
      <w:tr>
        <w:trPr/>
        <w:tc>
          <w:tcPr>
            <w:tcW w:w="1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7"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19,978</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 xml:space="preserve">Selling, general and administrative expense increased for the three and six months ended July 31, 2026, as compared to the same periods in the prior fiscal year, primarily due to approximately $1.8 million and $3.5 million, respectively, of higher marketing and professional service expenses associated with our business activities. The increases were partially offset by approximately $0.3 million and $0.7 million, respectively, of lower facility-related costs. </w:t>
      </w:r>
    </w:p>
    <w:p>
      <w:pPr>
        <w:pStyle w:val="TextBody"/>
        <w:bidi w:val="0"/>
        <w:spacing w:before="10" w:after="283"/>
        <w:jc w:val="left"/>
        <w:rPr/>
      </w:pPr>
      <w:r>
        <w:rPr/>
        <w:t> </w:t>
      </w:r>
    </w:p>
    <w:p>
      <w:pPr>
        <w:pStyle w:val="TextBody"/>
        <w:bidi w:val="0"/>
        <w:spacing w:before="1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58"/>
        <w:gridCol w:w="146"/>
        <w:gridCol w:w="237"/>
        <w:gridCol w:w="642"/>
        <w:gridCol w:w="163"/>
        <w:gridCol w:w="163"/>
        <w:gridCol w:w="237"/>
        <w:gridCol w:w="642"/>
        <w:gridCol w:w="146"/>
        <w:gridCol w:w="146"/>
        <w:gridCol w:w="211"/>
        <w:gridCol w:w="481"/>
        <w:gridCol w:w="166"/>
        <w:gridCol w:w="146"/>
        <w:gridCol w:w="146"/>
        <w:gridCol w:w="526"/>
        <w:gridCol w:w="308"/>
        <w:gridCol w:w="146"/>
        <w:gridCol w:w="224"/>
        <w:gridCol w:w="605"/>
        <w:gridCol w:w="154"/>
        <w:gridCol w:w="154"/>
        <w:gridCol w:w="224"/>
        <w:gridCol w:w="605"/>
        <w:gridCol w:w="146"/>
        <w:gridCol w:w="146"/>
        <w:gridCol w:w="211"/>
        <w:gridCol w:w="481"/>
        <w:gridCol w:w="166"/>
        <w:gridCol w:w="146"/>
        <w:gridCol w:w="146"/>
        <w:gridCol w:w="526"/>
        <w:gridCol w:w="361"/>
      </w:tblGrid>
      <w:tr>
        <w:trPr/>
        <w:tc>
          <w:tcPr>
            <w:tcW w:w="1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0"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in other income, net, for the three and six months ended July 31, 2026, as compared to the same periods in the prior fiscal year, was primarily due to approximately $0.3 million and $0.7 million, respectively, of higher imputed interest expense associated with software license purchases. For the six months ended July 31, 2026, the decreased other income, net, was partially offset by an approximately $0.2 million subsidy received from a foreign government.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28"/>
        <w:gridCol w:w="146"/>
        <w:gridCol w:w="227"/>
        <w:gridCol w:w="453"/>
        <w:gridCol w:w="157"/>
        <w:gridCol w:w="292"/>
        <w:gridCol w:w="227"/>
        <w:gridCol w:w="453"/>
        <w:gridCol w:w="146"/>
        <w:gridCol w:w="271"/>
        <w:gridCol w:w="261"/>
        <w:gridCol w:w="430"/>
        <w:gridCol w:w="146"/>
        <w:gridCol w:w="146"/>
        <w:gridCol w:w="146"/>
        <w:gridCol w:w="466"/>
        <w:gridCol w:w="146"/>
        <w:gridCol w:w="316"/>
        <w:gridCol w:w="146"/>
        <w:gridCol w:w="216"/>
        <w:gridCol w:w="586"/>
        <w:gridCol w:w="149"/>
        <w:gridCol w:w="278"/>
        <w:gridCol w:w="216"/>
        <w:gridCol w:w="432"/>
        <w:gridCol w:w="146"/>
        <w:gridCol w:w="271"/>
        <w:gridCol w:w="230"/>
        <w:gridCol w:w="461"/>
        <w:gridCol w:w="146"/>
        <w:gridCol w:w="146"/>
        <w:gridCol w:w="146"/>
        <w:gridCol w:w="466"/>
        <w:gridCol w:w="146"/>
        <w:gridCol w:w="367"/>
      </w:tblGrid>
      <w:tr>
        <w:trPr/>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1" w:type="dxa"/>
            <w:gridSpan w:val="3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quarterly income taxes reflect an estimate of the corresponding fiscal year’s annual effective tax rate and include, when applicable, adjustments from discrete tax items arising in the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increases in income tax expense for the three and six months ended July 31, 2026, as compared to the same periods in the prior fiscal year, were primarily due to decreases in loss before income taxes in the current fiscal year.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July 31, 2026, we had cash, cash equivalents and marketable debt securities of approximately $272.3 million. We invest in highly-liquid, short-term marketable debt securities and hold these investments as available-for-sale securities. Refer to Note 2 of the Notes to Condensed Consolidated Financial Statements for additional information.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left"/>
        <w:rPr/>
      </w:pPr>
      <w:r>
        <w:rPr/>
        <w:t> </w:t>
      </w:r>
    </w:p>
    <w:tbl>
      <w:tblPr>
        <w:tblW w:w="7304" w:type="dxa"/>
        <w:jc w:val="left"/>
        <w:tblInd w:w="0" w:type="dxa"/>
        <w:tblLayout w:type="fixed"/>
        <w:tblCellMar>
          <w:top w:w="28" w:type="dxa"/>
          <w:left w:w="28" w:type="dxa"/>
          <w:bottom w:w="28" w:type="dxa"/>
          <w:right w:w="28" w:type="dxa"/>
        </w:tblCellMar>
      </w:tblPr>
      <w:tblGrid>
        <w:gridCol w:w="4741"/>
        <w:gridCol w:w="146"/>
        <w:gridCol w:w="211"/>
        <w:gridCol w:w="736"/>
        <w:gridCol w:w="166"/>
        <w:gridCol w:w="146"/>
        <w:gridCol w:w="211"/>
        <w:gridCol w:w="736"/>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Net Cash Provided by (Used in) Operating Activities</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decrease in cash flows from operating activities for the six months ended July 31, 2026, as compared to the same period in the prior fiscal year, was mainly driven by higher cash outflows from changes in working capital, primarily due to increased inventory purchases, partially offset by improved operating results. </w:t>
      </w:r>
    </w:p>
    <w:p>
      <w:pPr>
        <w:pStyle w:val="TextBody"/>
        <w:bidi w:val="0"/>
        <w:jc w:val="left"/>
        <w:rPr>
          <w:rFonts w:ascii="Times New Roman" w:hAnsi="Times New Roman"/>
          <w:i/>
          <w:color w:val="000000"/>
          <w:sz w:val="20"/>
        </w:rPr>
      </w:pPr>
      <w:r>
        <w:rPr>
          <w:rFonts w:ascii="Times New Roman" w:hAnsi="Times New Roman"/>
          <w:i/>
          <w:color w:val="000000"/>
          <w:sz w:val="20"/>
        </w:rPr>
        <w:t>Net Cash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increased for the six months ended July 31, 2026, as compared to the same period in the prior fiscal year, primarily due to approximately $37.8 million of additional funds invested in our security portfolio, and $2.1 million of higher payments for purchases of capital assets and software licenses.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Net Cash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increased for the six months ended July 31, 2026, as compared to the same period in the prior fiscal year, primarily due to an additional $1.3 million financing payment for the purchase of software licenses and $1.4 million of higher cash payment for the repurchase of our ordinary shares, partially offset by $1.0 million of additional cash received from stock compensation activities.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27, 2026, our Board of Directors authorized a share repurchase program for a total of $50.0 million commencing July 1, 2026 through June 30, 2027. Refer to Note 10 of the Notes to Condensed Consolidated Financial Statements for additional information.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Operating and Capital Expenditure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balances will be sufficient to meet our anticipated cash requirements through at least the next 12 months. In the future, we may require more working capital to meet our operating and capital expenditure needs. If our available cash balances are insufficient to satisfy our future liquidity requirements, we may seek to sell equity or convertible debt securities or borrow funds commercially.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Commitments and Contingencies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Manufacturing Purchase Obligations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July 31, 2026, we had purchase obligations with our independent contract manufacturers of $49.0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Except as described above, there were no other material changes in our contractual obligations, commitments and contingencies from those disclosed in our Annual Report on Form 10-K for the fiscal year ended January 31, 2026. Please see Item 7, “Management’s Discussion and Analysis of Financial Condition and Results of Operations – Contractual Obligations, Commitments and Contingencies” in our Annual Report on Form 10-K for the fiscal year ended January 31, 2026 for a description of our contractual obligations.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July 31, 2026, we did not engage in any off-balance sheet arrangements, including the use of structured finance, special purpose entities or variable interest entities.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Authoritative Accounting Guidance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 of Notes to Condensed Consolidated Financial Statements for information regarding recently issued accounting pronouncements.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Management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our critical accounting policies and estimates as compared to the critical accounting policies and estimates described in our Annual Report on Form 10-K for the 2026 fiscal year filed with the SEC on March 23, 2026. </w:t>
      </w:r>
    </w:p>
    <w:p>
      <w:pPr>
        <w:pStyle w:val="TextBody"/>
        <w:bidi w:val="0"/>
        <w:spacing w:before="120" w:after="283"/>
        <w:jc w:val="left"/>
        <w:rPr/>
      </w:pPr>
      <w:r>
        <w:rPr/>
        <w:t> </w:t>
      </w:r>
    </w:p>
    <w:p>
      <w:pPr>
        <w:pStyle w:val="TextBody"/>
        <w:bidi w:val="0"/>
        <w:jc w:val="left"/>
        <w:rPr>
          <w:rFonts w:ascii="Times New Roman" w:hAnsi="Times New Roman"/>
          <w:b/>
          <w:color w:val="000000"/>
          <w:sz w:val="20"/>
        </w:rPr>
      </w:pPr>
      <w:bookmarkStart w:id="11" w:name="quantitative_and_qualitative_disclosures"/>
      <w:bookmarkEnd w:id="11"/>
      <w:r>
        <w:rPr>
          <w:rFonts w:ascii="Times New Roman" w:hAnsi="Times New Roman"/>
          <w:b/>
          <w:color w:val="000000"/>
          <w:sz w:val="20"/>
        </w:rPr>
        <w:t>ITEM 3. Quantitative and Qualitative Disclosures About Market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have been no material changes to the market risk as described in Part II, Item 7A. “Quantitative and Qualitative Disclosures About Market Risk” in our Annual Report on Form 10-K for the 2026 fiscal year filed with the SEC on March 23, 2026.</w:t>
      </w:r>
    </w:p>
    <w:p>
      <w:pPr>
        <w:pStyle w:val="TextBody"/>
        <w:bidi w:val="0"/>
        <w:spacing w:before="120" w:after="283"/>
        <w:jc w:val="left"/>
        <w:rPr/>
      </w:pPr>
      <w:r>
        <w:rPr/>
        <w:t> </w:t>
      </w:r>
    </w:p>
    <w:p>
      <w:pPr>
        <w:pStyle w:val="TextBody"/>
        <w:bidi w:val="0"/>
        <w:jc w:val="left"/>
        <w:rPr>
          <w:rFonts w:ascii="Times New Roman" w:hAnsi="Times New Roman"/>
          <w:b/>
          <w:color w:val="000000"/>
          <w:sz w:val="20"/>
        </w:rPr>
      </w:pPr>
      <w:bookmarkStart w:id="12" w:name="controls_and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such evaluation, our Principal Executive Officer and Principal Financial Officer have concluded that, as of July 31, 2026, our disclosure controls and procedures were effective at the reasonable assurance level.</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Company’s fiscal quarter ended July 31, 2026 that have materially affected, or are reasonably likely to materially affect, the Company’s internal control over financial reporting.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Inherent Limitations of Disclosure Controls and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pStyle w:val="TextBody"/>
        <w:bidi w:val="0"/>
        <w:spacing w:before="120" w:after="283"/>
        <w:jc w:val="left"/>
        <w:rPr/>
      </w:pPr>
      <w:r>
        <w:rPr/>
        <w:t> </w:t>
      </w:r>
    </w:p>
    <w:p>
      <w:pPr>
        <w:pStyle w:val="TextBody"/>
        <w:bidi w:val="0"/>
        <w:jc w:val="left"/>
        <w:rPr>
          <w:rFonts w:ascii="Times New Roman" w:hAnsi="Times New Roman"/>
          <w:b/>
          <w:color w:val="000000"/>
          <w:sz w:val="20"/>
        </w:rPr>
      </w:pPr>
      <w:bookmarkStart w:id="13" w:name="part_ii_other_information"/>
      <w:bookmarkEnd w:id="13"/>
      <w:r>
        <w:rPr>
          <w:rFonts w:ascii="Times New Roman" w:hAnsi="Times New Roman"/>
          <w:b/>
          <w:color w:val="000000"/>
          <w:sz w:val="20"/>
        </w:rPr>
        <w:t>PART II – OTHER INFORMATION</w:t>
      </w:r>
    </w:p>
    <w:p>
      <w:pPr>
        <w:pStyle w:val="TextBody"/>
        <w:bidi w:val="0"/>
        <w:spacing w:before="120" w:after="283"/>
        <w:jc w:val="left"/>
        <w:rPr>
          <w:rFonts w:ascii="Times New Roman" w:hAnsi="Times New Roman"/>
          <w:b/>
          <w:color w:val="000000"/>
          <w:sz w:val="20"/>
        </w:rPr>
      </w:pPr>
      <w:bookmarkStart w:id="14" w:name="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engaged in any material legal proceedings at this time. Refer to Note 14, Commitments and Contingencies of the Notes to Condensed Consolidated Financial Statements included in Part I, Item 1 of this Quarterly Report on Form 10-Q.</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1A. Risk Factors</w:t>
      </w:r>
    </w:p>
    <w:p>
      <w:pPr>
        <w:pStyle w:val="TextBody"/>
        <w:bidi w:val="0"/>
        <w:jc w:val="left"/>
        <w:rPr>
          <w:rFonts w:ascii="Times New Roman" w:hAnsi="Times New Roman"/>
          <w:i/>
          <w:color w:val="000000"/>
          <w:sz w:val="20"/>
        </w:rPr>
      </w:pPr>
      <w:bookmarkStart w:id="15" w:name="riskfactors"/>
      <w:bookmarkEnd w:id="15"/>
      <w:r>
        <w:rPr>
          <w:rFonts w:ascii="Times New Roman" w:hAnsi="Times New Roman"/>
          <w:i/>
          <w:color w:val="000000"/>
          <w:sz w:val="20"/>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pStyle w:val="TextBody"/>
        <w:bidi w:val="0"/>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jc w:val="left"/>
        <w:rPr>
          <w:rFonts w:ascii="Times New Roman" w:hAnsi="Times New Roman"/>
          <w:color w:val="000000"/>
          <w:sz w:val="20"/>
        </w:rPr>
      </w:pPr>
      <w:r>
        <w:rPr>
          <w:rFonts w:ascii="Times New Roman" w:hAnsi="Times New Roman"/>
          <w:color w:val="000000"/>
          <w:sz w:val="20"/>
        </w:rPr>
        <w:t xml:space="preserve">Our business and our industry are subject to numerous risks and uncertainties, including those described in the following Risk Factors. These risks include, but are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macroeconomic and political conditions, including high inflation, recessionary concerns, trade restrictions, geopolitical tensions and war, may adversely impact our business and financial condition in ways that we currently cannot predict.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customers do not design our solutions into their product offerings, or if our customers’ product offerings are not commercially successful, our business would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target markets may not grow or develop as we currently expect, and if we fail to successfully penetrate new markets, our revenue and financial condition could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Impacts of the global supply chain challenges could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Shortages in, or increased costs of, wafers and materials could adversely impact our gross margins and lead to reduced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incorporate components supplied by multiple third parties, and a supply shortage or delay in delivery of these components could delay orders for our solutions by our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successfully develop and introduce new or enhanced solutions that meet market requirements on a timely basis, our ability to attract and retain customers could be impaired and our competitive position could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 risks relating to the adoption, use or application of emerging technologies, including artificial intelligence, by our customers and in our business, could adversely impact our financial results and result in reputational harm and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inventory warehouse is located in Hong Kong and may be affected by continued political, social, health and economic conditions in Hong Kong.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may cancel their orders, change production quantities or delay production. If we fail to accurately forecast demand for our solutions, revenue shortfalls or excess, obsolete or insufficient inventory could result.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a limited number of customers and end customers for a significant portion of our revenue. If we fail to retain or expand our customer relationships, our revenue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intense competition and expect competition to increase in the future, which could have an adverse effect on our market share, revenue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breach of our security systems, or other security breaches or incidents with respect to our products, networks or systems, may have a material adverse effect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intend to continue to invest in research and development, we may be unable to make the substantial investments that are required to remain competitive in our business.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highly skilled personnel and, if we are unable to hire, retain or motivate key personnel, we may not be able to grow effectively which could harm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average selling prices of semiconductor solutions in our target markets have typically decreased over time and will likely do so in the future, which could harm our revenue and gross margins.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manage any future growth, we may not be able to execute our business plan and our operating results could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Deterioration of the financial conditions of our customers could adversely affect our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cyclical nature of the semiconductor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difficulties in transitioning to new wafer fabrication process technologies or in achieving higher levels of design integration, which may result in reduced manufacturing yields, delays in product deliveries and increased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Rapidly changing industry standards could make our video and image processing solutions obsolete, which would cause our operating results to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operations and a significant portion of our customers and our subcontractors are located outside of the United States, which subjects us to additional risks, including increased complexity and costs of managing international operations and geopolitical instability.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tax risks, including relating to the complexity of calculating our tax provision, changes in statutory tax rates, or unfavorable tax law changes.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operating results on a quarterly and annual basis could cause the market price of our ordinary shares to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long-term supply contracts with our third-party manufacturing vendors, and they may not allocate sufficient capacity to us at reasonable prices to meet future demands for our solutions.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foundry vendors do not achieve satisfactory yields or quality, our reputation and customer relationships could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substantial portion of our revenue is processed through a single distributor and the loss of this distributor may cause disruptions in our shipments, which may adversely affect our operations and financial condition.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risks associated with our distributors’ product inventories.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third-party vendors to supply software development tools and intellectual property to us for the development of our new products, and we may be unable to obtain the tools necessary to develop or enhance new or existing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governmental export and import controls that could subject us to liability or impair our ability to compete in international markets, including China. In addition, our ability to sell certain products to several Chinese customers has been restricted.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warranty and product liability claims and to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laws and regulatory compliance requirements, including Section 404 of the Sarbanes-Oxley Act of 2002, which are costly to comply with, and our failure to comply with these requirements could harm our business and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adequately protect our intellectual property rights could impair our ability to compete effectively or defend ourselves from litigation, which could harm our business, financial condition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Business and Our Industry</w:t>
      </w:r>
    </w:p>
    <w:p>
      <w:pPr>
        <w:pStyle w:val="TextBody"/>
        <w:bidi w:val="0"/>
        <w:jc w:val="left"/>
        <w:rPr>
          <w:rFonts w:ascii="Times New Roman" w:hAnsi="Times New Roman"/>
          <w:sz w:val="20"/>
        </w:rPr>
      </w:pPr>
      <w:r>
        <w:rPr>
          <w:rFonts w:ascii="Times New Roman" w:hAnsi="Times New Roman"/>
          <w:b/>
          <w:i/>
          <w:color w:val="000000"/>
          <w:sz w:val="20"/>
        </w:rPr>
        <w:t>Global macroeconomic and political conditions, including high inflation, recessionary concerns, trade restrictions, geopolitical tensions and war, may adversely</w:t>
      </w:r>
      <w:r>
        <w:rPr>
          <w:rFonts w:ascii="Times New Roman" w:hAnsi="Times New Roman"/>
          <w:color w:val="000000"/>
          <w:sz w:val="20"/>
        </w:rPr>
        <w:t xml:space="preserve"> </w:t>
      </w:r>
      <w:r>
        <w:rPr>
          <w:rFonts w:ascii="Times New Roman" w:hAnsi="Times New Roman"/>
          <w:b/>
          <w:i/>
          <w:color w:val="000000"/>
          <w:sz w:val="20"/>
        </w:rPr>
        <w:t>impact our business and financial condition in ways that we currently cannot predict.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 global company and our business, results of operations, and financial condition are impacted by global macroeconomic conditions. Macroeconomic events such as recession, high inflation, geopolitical tensions, war, public health crises, supply chain disruptions, rising energy costs, changes to U.S. trade policies and responses by foreign governments to such policies, and global banking concerns have caused economic volatility, which have in the past, and may continue to, harm our business. Economic volatility and adverse economic conditions have affected and may continue to affect the demand for our products and our customers’ products. Reduced demand for our customers’ products may negatively affect demand for our products and lead to a buildup of inventory at many of our customers, including their affiliates, partners, and contract manufacturers. Reduced demand for our products could result in decreases in our sales and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customers do not design our solutions into their product offerings, or if our customers’ product offerings are not commercially successful, our business would suffer.</w:t>
      </w:r>
    </w:p>
    <w:p>
      <w:pPr>
        <w:pStyle w:val="TextBody"/>
        <w:bidi w:val="0"/>
        <w:jc w:val="left"/>
        <w:rPr>
          <w:rFonts w:ascii="Times New Roman" w:hAnsi="Times New Roman"/>
          <w:color w:val="000000"/>
          <w:sz w:val="20"/>
        </w:rPr>
      </w:pPr>
      <w:r>
        <w:rPr>
          <w:rFonts w:ascii="Times New Roman" w:hAnsi="Times New Roman"/>
          <w:color w:val="000000"/>
          <w:sz w:val="20"/>
        </w:rPr>
        <w:t xml:space="preserve">We sell our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We also face certain competitive disadvantages in these markets relative to larger competitors that have significantly more resources and a longer history working with OEMs and ODMs in these markets. </w:t>
      </w:r>
    </w:p>
    <w:p>
      <w:pPr>
        <w:pStyle w:val="TextBody"/>
        <w:bidi w:val="0"/>
        <w:jc w:val="left"/>
        <w:rPr>
          <w:rFonts w:ascii="Times New Roman" w:hAnsi="Times New Roman"/>
          <w:color w:val="000000"/>
          <w:sz w:val="20"/>
        </w:rPr>
      </w:pPr>
      <w:r>
        <w:rPr>
          <w:rFonts w:ascii="Times New Roman" w:hAnsi="Times New Roman"/>
          <w:color w:val="000000"/>
          <w:sz w:val="20"/>
        </w:rPr>
        <w:t xml:space="preserve">Even if an OEM designs one of our SoC solutions into its product, we cannot be assured that the OEM’s product will be commercially successful over time or at all. For example, in the past, we have secured design wins for customer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target markets may not grow or develop as we currently expect, and if we fail to successfully penetrate new markets, our revenue and financial condition could be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our future revenue growth, if any, significantly depends on our ability to expand within the Internet of Things, or IoT, and automotive markets with our new artificial intelligence, or AI, SoC solutions, and penetrate, or further penetrate, the robotics and industrial markets. Each of these markets presents distinct and substantial risks and, in many cases, requires us to develop new functionality or software to address the particular requirements of that market. The application of AI functionality in these markets is relatively new, and we may be unable to predict the timing or development of these markets with accuracy. If any of these markets do not develop as we currently anticipate, the technical requirements of these markets evolve in ways we do not anticipate, the development of such markets is delayed or impacted by factors outside of our control, or if we are unable to penetrate, or further penetrate, them successfully with our solutions, our revenue could decline and our financial condition would be negatively impacted.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Some of these markets are primarily served by only a few large, multinational OEMs with substantial negotiating power relative to us and, in some instances, with internal solutions that are competitive to our products. Meeting the technical requirements and securing design wins in these markets requires a substantial investment of our time and resources and we cannot assure you that we will secure design wins or that we will achieve meaningful revenue from the sales of our solutions into these markets. In addition, we face competition from larger competitors with greater resources and more history in these markets, which may put us at a competitive disadvantage to these larger competitors.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while we will continue to seek to expand our end market exposure, we anticipate that sales to a limited number of markets will continue to account for a significant percentage of our total revenue for the foreseeable future. Our concentration in a limited number of markets may cause our financial performance to fluctuate significantly from period to period based on the success or failure of products that our SoCs are designed into as well as the overall growth or decline in the video capture markets in which we compete.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fail to penetrate these or other new markets we are targeting, our financial condition would likely suffer. Moreover, if we are successful in achieving design wins in these new markets, it will likely take longer to generate revenue from such design wins than in our traditional markets.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Impacts of the global supply chain challenges could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Managing our manufacturing capacity and supply chain is complex. Our ability to manage our supply chain has been, and could continue to be, adversely affected by a variety of factors including geopolitical conditions such as international trade tensions between the U.S. and China, military conflicts, natural disasters, health crises, and other factors beyond our control. Disruptions in the supply chain for materials used to produce semiconductors or significant increase in demand for semiconductors has, and may in the future, result in a lengthening of the manufacturing lead time for our products and impact the normal forecasting and ordering patterns of our customers. For example, we have experienced supply constraints for certain chips from Samsung Electronics Corporation (Samsung) and we may experience similar issues in the future, which could increase our manufacturing costs and reduce the gross margin of our products. There have been tightening supply conditions in the memory market and to the extent our customers face supply chain issues with respect to other components needed to pair with our products, such as memory components, in order to produce their end products, such customers may delay orders of our products or hold inventory of our products for longer periods of time, which could result in a decline in our revenue, a decline in gross margin, excess inventory or other adverse impact on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Shortages in, or increased costs of, wafers and materials could adversely impact our gross margins and lead to reduced revenues.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Worldwide manufacturing capacity for silicon wafers is relatively inelastic. If the demand for silicon wafers or assembly material exceeds market supply, our supply of silicon wafers or assembly material could quickly become limited or prohibitively expensive. Silicon wafers constitute a material portion of our product cost and if we are unable to purchase wafers at favorable prices, our results of operations and financial condition will be adversely affected. Our suppliers may pass increases in the price of engineered materials, raw materials and commodity costs onto us, which could reduce our gross margin. The semiconductor industry is currently experiencing a tightening of manufacturing capacity, which may result in a lengthening of the manufacturing lead time for our products and could potentially negatively impact our revenue. We have also experienced, during times of supply chain capacity shortages, customers placing orders for our products that exceed their actual demand, which may lead to us manufacturing a surplus of products and could have a negative impact on our results of operations and cash reserves and lead to us and our customers having excess inventory.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customers incorporate components supplied by multiple third parties, and a supply shortage or delay in delivery of these components could delay orders for our solutions by our customers.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successfully develop and introduce new or enhanced solutions that meet market requirements on a timely basis, our ability to attract and retain customers could be impaired and our competitive position could be harmed.</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operate in a dynamic environment characterized by rapidly changing technologies. To compete successfully, we must design, develop, market and sell enhanced solutions that provide increasingly higher levels of performance and functionality, including AI functionality, and that meet the technical and cost expectations of our customers. Our existing or future solutions could be rendered obsolete by the introduction of new products by our competitors, convergence of other markets with or into the video perception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Our failure to anticipate or timely develop new or enhanced solutions in response to technological shifts could result in decreased revenue and our competitors achieving design wins that we sought. As we develop and introduce new solutions, we also face the risk that customers may not value or be willing to bear the cost of incorporating these newer solutions into their products, particularly if they believe their customers are satisfied with current solutions. If we or our customers are unable to manage product transitions in a timely and cost-effective manner, our business and results of operations would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for some markets we address or seek to address we need to establish and maintain relationships with third-party suppliers or software providers in order to effectively market our solutions to end-customers. Failure to establish these relationships could harm our ability to achieve design wins.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Uncertain risks relating to the adoption, use or application of emerging technologies, including artificial intelligence, by our customers and in our business, could adversely impact our financial results and result in reputational harm and liability.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Most of our SoCs, including all of our recently introduced SoCs, support AI functionality implemented in our customers’ products, such as object detection, classification and tracking, image processing, and terrain mapping. Our latest generation of products also enable us to address computationally intense AI applications for deep fusion, deep planning, multi-modal vision-language models (VLMs), large language models (LLMs), vision-action models (VLAs) and reasoning models in edge devices. AI technologies are complex and rapidly evolving. The adoption of AI solutions may not develop in the manner or in the time periods we anticipate and, as the markets for AI solutions are still developing, demand for these products may be unpredictable and vary significantly from one period to another. These factors may adversely impact demand for our AI related products. In addition, compliance with evolving government regulations worldwide related to AI may increase the costs related to the development of AI products and solutions and limit global adoption, which may also adversely impact demand for our AI related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Concerns relating to the responsible use of AI in our and our customers’ products may result in reputational and financial harm and liability. AI poses emerging ethical issues and presents risks and challenges that could affect its adoption, and therefore our business. If we or our customers enable or offer solutions that draw controversy due to their perceived or actual impact on society, such as AI solutions that have unintended consequences or are controversial, we may experience reputational harm, competitive harm, financial harm or legal liability.</w:t>
      </w:r>
    </w:p>
    <w:p>
      <w:pPr>
        <w:pStyle w:val="TextBody"/>
        <w:bidi w:val="0"/>
        <w:jc w:val="left"/>
        <w:rPr>
          <w:rFonts w:ascii="Times New Roman" w:hAnsi="Times New Roman"/>
          <w:b/>
          <w:i/>
          <w:color w:val="000000"/>
          <w:sz w:val="20"/>
        </w:rPr>
      </w:pPr>
      <w:r>
        <w:rPr>
          <w:rFonts w:ascii="Times New Roman" w:hAnsi="Times New Roman"/>
          <w:b/>
          <w:i/>
          <w:color w:val="000000"/>
          <w:sz w:val="20"/>
        </w:rPr>
        <w:t>Our primary inventory warehouse is located in Hong Kong and may be affected by continued political, social, health and economic conditions in Hong Kong.</w:t>
      </w:r>
    </w:p>
    <w:p>
      <w:pPr>
        <w:pStyle w:val="TextBody"/>
        <w:bidi w:val="0"/>
        <w:jc w:val="left"/>
        <w:rPr>
          <w:rFonts w:ascii="Times New Roman" w:hAnsi="Times New Roman"/>
          <w:color w:val="000000"/>
          <w:sz w:val="20"/>
        </w:rPr>
      </w:pPr>
      <w:r>
        <w:rPr>
          <w:rFonts w:ascii="Times New Roman" w:hAnsi="Times New Roman"/>
          <w:color w:val="000000"/>
          <w:sz w:val="20"/>
        </w:rPr>
        <w:t xml:space="preserve">We operate a warehouse facility in Hong Kong through which the substantial majority of our finished SoCs are shipped to customers or our logistic partners. Hong Kong has experienced, and continues to experience, political unrest and social strife. The Bureau of Industry and Security, or BIS, of the U.S. Department of Commerce, or Commerce, imposes on Hong Kong the same stringent export and reexport controls applicable to China, including licensing requirements such as those applicable to certain SoCs and semiconductor end-uses.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addition,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 </w:t>
      </w:r>
    </w:p>
    <w:p>
      <w:pPr>
        <w:pStyle w:val="TextBody"/>
        <w:bidi w:val="0"/>
        <w:jc w:val="left"/>
        <w:rPr>
          <w:rFonts w:ascii="Times New Roman" w:hAnsi="Times New Roman"/>
          <w:b/>
          <w:i/>
          <w:color w:val="000000"/>
          <w:sz w:val="20"/>
        </w:rPr>
      </w:pPr>
      <w:r>
        <w:rPr>
          <w:rFonts w:ascii="Times New Roman" w:hAnsi="Times New Roman"/>
          <w:b/>
          <w:i/>
          <w:color w:val="000000"/>
          <w:sz w:val="20"/>
        </w:rPr>
        <w:t>Our customers may cancel their orders, change production quantities or delay production. If we fail to accurately forecast demand for our solutions, revenue shortfalls or excess, obsolete or insufficient inventory could result.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customers typically do not provide us with firm, long-term purchase commitments. A substantial majority of our sales are made on a purchase order basis, which customers may seek to cancel, change or delay their product purchase commitments with little or no notice to us. Because production lead times often exceed the amount of time required by our customers to fill their orders, we often must build SoCs in advance of receiving orders from customers, relying on an imperfect demand forecast to project volumes and product mix. As a result, from time to time, we may see an increase in our inventory levels.</w:t>
      </w:r>
    </w:p>
    <w:p>
      <w:pPr>
        <w:pStyle w:val="TextBody"/>
        <w:bidi w:val="0"/>
        <w:jc w:val="left"/>
        <w:rPr>
          <w:rFonts w:ascii="Times New Roman" w:hAnsi="Times New Roman"/>
          <w:color w:val="000000"/>
          <w:sz w:val="20"/>
        </w:rPr>
      </w:pPr>
      <w:r>
        <w:rPr>
          <w:rFonts w:ascii="Times New Roman" w:hAnsi="Times New Roman"/>
          <w:color w:val="000000"/>
          <w:sz w:val="20"/>
        </w:rPr>
        <w:t xml:space="preserve">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changes in market conditions including reductions in market activity due to pandemics, adverse changes in our product order mix and fluctuating demand for our customers’ products. Even after an order is received, our customers may seek to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 </w:t>
      </w:r>
    </w:p>
    <w:p>
      <w:pPr>
        <w:pStyle w:val="TextBody"/>
        <w:bidi w:val="0"/>
        <w:jc w:val="left"/>
        <w:rPr>
          <w:rFonts w:ascii="Times New Roman" w:hAnsi="Times New Roman"/>
          <w:color w:val="000000"/>
          <w:sz w:val="20"/>
        </w:rPr>
      </w:pPr>
      <w:r>
        <w:rPr>
          <w:rFonts w:ascii="Times New Roman" w:hAnsi="Times New Roman"/>
          <w:color w:val="000000"/>
          <w:sz w:val="20"/>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We depend on a limited number of customers and end customers for a significant portion of our revenue. If we fail to retain or expand our customer relationships, our revenue could decline.</w:t>
      </w:r>
    </w:p>
    <w:p>
      <w:pPr>
        <w:pStyle w:val="TextBody"/>
        <w:bidi w:val="0"/>
        <w:jc w:val="left"/>
        <w:rPr>
          <w:rFonts w:ascii="Times New Roman" w:hAnsi="Times New Roman"/>
          <w:color w:val="000000"/>
          <w:sz w:val="20"/>
        </w:rPr>
      </w:pPr>
      <w:r>
        <w:rPr>
          <w:rFonts w:ascii="Times New Roman" w:hAnsi="Times New Roman"/>
          <w:color w:val="000000"/>
          <w:sz w:val="20"/>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2026, the customer representing 10% or more of our revenue was WT Microelectronics Co., Ltd., or WT, which serves as our non-exclusive sales representative and fulfillment partner in Asia other than Japan, and accounted for approximately 70% of total revenue. For the six months ended July 31, 2026, the customers representing 10% or more of our revenue were WT and Hakuto Co., Ltd., or Hakuto, a Japanese distributor, which accounted for approximately 61% and 10% of total revenue, respectively. In addition, we believe that revenue from our top 10 end customers, either directly or through a distributor or an ODM, accounted for approximately 67% of our total revenue in fiscal year 2026 and accounted for approximately 67% of our total revenue for the six months ended July 31, 2026. Our largest end customer in fiscal year 2027 to date was Arashi Vision Inc. dba Insta360, or Arashi, for which we indirectly supply SoCs through WT to multiple ODMs that build products on behalf of Arashi. We believe that our operating results in the near term will continue to depend on sales to a relatively small number of customers and end customers. In the future, these customers may decide not to purchase our SoC solutions at all, may purchase fewer solutions than they did in the past or may alter their purchasing patterns. The loss of a significant customer, or substantial reduction in purchases by a significant customer, could happen again at any time and without notice, and such loss would likely lead to unanticipated revenue shortfalls and excess inventory and otherwise harm our financial condition and results of operations. Furthermore, any credit issues from WT could impair its ability to make timely payment to us. Moreover, because several of our largest OEM customers have a dominant position in their markets, a loss of a significant customer may not be easily replaced.</w:t>
      </w:r>
    </w:p>
    <w:p>
      <w:pPr>
        <w:pStyle w:val="TextBody"/>
        <w:bidi w:val="0"/>
        <w:jc w:val="left"/>
        <w:rPr>
          <w:rFonts w:ascii="Times New Roman" w:hAnsi="Times New Roman"/>
          <w:b/>
          <w:i/>
          <w:color w:val="000000"/>
          <w:sz w:val="20"/>
        </w:rPr>
      </w:pPr>
      <w:r>
        <w:rPr>
          <w:rFonts w:ascii="Times New Roman" w:hAnsi="Times New Roman"/>
          <w:b/>
          <w:i/>
          <w:color w:val="000000"/>
          <w:sz w:val="20"/>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pStyle w:val="TextBody"/>
        <w:bidi w:val="0"/>
        <w:jc w:val="left"/>
        <w:rPr>
          <w:rFonts w:ascii="Times New Roman" w:hAnsi="Times New Roman"/>
          <w:color w:val="000000"/>
          <w:sz w:val="20"/>
        </w:rPr>
      </w:pPr>
      <w:r>
        <w:rPr>
          <w:rFonts w:ascii="Times New Roman" w:hAnsi="Times New Roman"/>
          <w:color w:val="000000"/>
          <w:sz w:val="20"/>
        </w:rPr>
        <w:t>We are focused on selling our SoC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customers generally take a considerable amount of time to evaluate our solutions. The typical time from early engagement by our sales force to actual product introduction runs from 12 to 18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pStyle w:val="TextBody"/>
        <w:bidi w:val="0"/>
        <w:jc w:val="left"/>
        <w:rPr>
          <w:rFonts w:ascii="Times New Roman" w:hAnsi="Times New Roman"/>
          <w:color w:val="000000"/>
          <w:sz w:val="20"/>
        </w:rPr>
      </w:pPr>
      <w:r>
        <w:rPr>
          <w:rFonts w:ascii="Times New Roman" w:hAnsi="Times New Roman"/>
          <w:color w:val="000000"/>
          <w:sz w:val="20"/>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of our products and our supply chain. This qualification process may take several months and qualification of a product by a customer does not assure any sales of the product to that customer. Even after successful qualification and sales of a product to a customer, a subsequent revision in our third-party contractors’ manufacturing or assembly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pStyle w:val="TextBody"/>
        <w:bidi w:val="0"/>
        <w:jc w:val="left"/>
        <w:rPr>
          <w:rFonts w:ascii="Times New Roman" w:hAnsi="Times New Roman"/>
          <w:b/>
          <w:i/>
          <w:color w:val="000000"/>
          <w:sz w:val="20"/>
        </w:rPr>
      </w:pPr>
      <w:r>
        <w:rPr>
          <w:rFonts w:ascii="Times New Roman" w:hAnsi="Times New Roman"/>
          <w:b/>
          <w:i/>
          <w:color w:val="000000"/>
          <w:sz w:val="20"/>
        </w:rPr>
        <w:t>We face intense competition and expect competition to increase in the future, which could have an adverse effect on our market share, revenue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greater resources, longer histories in these markets and established relationships with OEMs and ODMs. Once an OEM designs a competitor’s device into its product, it becomes significantly more difficult for us to sell our SoC solutions to that OEM because changing suppliers involves significant cost, time, effort and risk for the OEM. So a design loss to a competitor will likely preclude any opportunity for future revenue from such customer’s product. Increased competition could result in price pressure, reduced profitability and loss of market share, any of which could harm our business, revenue and operating results.</w:t>
      </w:r>
    </w:p>
    <w:p>
      <w:pPr>
        <w:pStyle w:val="TextBody"/>
        <w:bidi w:val="0"/>
        <w:jc w:val="left"/>
        <w:rPr>
          <w:rFonts w:ascii="Times New Roman" w:hAnsi="Times New Roman"/>
          <w:color w:val="000000"/>
          <w:sz w:val="20"/>
        </w:rPr>
      </w:pPr>
      <w:r>
        <w:rPr>
          <w:rFonts w:ascii="Times New Roman" w:hAnsi="Times New Roman"/>
          <w:color w:val="000000"/>
          <w:sz w:val="20"/>
        </w:rPr>
        <w:t>Our competitors range from large, international companies with greater resources offering a wide range of semiconductor products to smaller, nimble companies specializing in narrow markets. In the IoT market, our primary competitors include HiSilicon Technologies Co., Ltd., or HiSilicon, which is owned by Huawei Technologies Co., Novatek Microelectronics Corp., or Novatek, NVIDIA Corporation, or NVIDIA, Qualcomm Incorporated, or Qualcomm, and SigmaStar Technology Corp. In the automotive camera market, we primarily compete against Horizon Robotics Inc., Mobileye, a subsidiary of Intel Corporation, Novatek, NVIDIA,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pStyle w:val="TextBody"/>
        <w:bidi w:val="0"/>
        <w:jc w:val="left"/>
        <w:rPr>
          <w:rFonts w:ascii="Times New Roman" w:hAnsi="Times New Roman"/>
          <w:color w:val="000000"/>
          <w:sz w:val="20"/>
        </w:rPr>
      </w:pPr>
      <w:r>
        <w:rPr>
          <w:rFonts w:ascii="Times New Roman" w:hAnsi="Times New Roman"/>
          <w:color w:val="000000"/>
          <w:sz w:val="20"/>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anticipate market and technology trends and successfully develop solutions that meet market needs;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understand the price points and performance metrics of competing products in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solutions’ performance and cost-effectiveness relative to that of competing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identifying and penetrating new markets, applications and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gain access to leading design tools and product specifications at the same time as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and maintain relationships with key OEMs and ODMs;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effective implementation of video processing or radar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international operations in a timely and cost-efficient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deliver products in volume on a timely basis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support our customers’ incorporation of our solutions into their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design and application engineers with expertise in computer vision, video and image processing technologies and sales and marketing personnel.</w:t>
      </w:r>
    </w:p>
    <w:p>
      <w:pPr>
        <w:pStyle w:val="TextBody"/>
        <w:bidi w:val="0"/>
        <w:jc w:val="left"/>
        <w:rPr>
          <w:rFonts w:ascii="Times New Roman" w:hAnsi="Times New Roman"/>
          <w:color w:val="000000"/>
          <w:sz w:val="20"/>
        </w:rPr>
      </w:pPr>
      <w:r>
        <w:rPr>
          <w:rFonts w:ascii="Times New Roman" w:hAnsi="Times New Roman"/>
          <w:color w:val="000000"/>
          <w:sz w:val="20"/>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pStyle w:val="TextBody"/>
        <w:bidi w:val="0"/>
        <w:jc w:val="left"/>
        <w:rPr>
          <w:rFonts w:ascii="Times New Roman" w:hAnsi="Times New Roman"/>
          <w:b/>
          <w:i/>
          <w:color w:val="000000"/>
          <w:sz w:val="20"/>
        </w:rPr>
      </w:pPr>
      <w:r>
        <w:rPr>
          <w:rFonts w:ascii="Times New Roman" w:hAnsi="Times New Roman"/>
          <w:b/>
          <w:i/>
          <w:color w:val="000000"/>
          <w:sz w:val="20"/>
        </w:rPr>
        <w:t>A breach of our security systems, or other security breaches or incidents with respect to our products, networks or systems, may have a material adverse effect on our business.</w:t>
      </w:r>
    </w:p>
    <w:p>
      <w:pPr>
        <w:pStyle w:val="TextBody"/>
        <w:bidi w:val="0"/>
        <w:jc w:val="left"/>
        <w:rPr>
          <w:rFonts w:ascii="Times New Roman" w:hAnsi="Times New Roman"/>
          <w:color w:val="000000"/>
          <w:sz w:val="20"/>
        </w:rPr>
      </w:pPr>
      <w:r>
        <w:rPr>
          <w:rFonts w:ascii="Times New Roman" w:hAnsi="Times New Roman"/>
          <w:color w:val="000000"/>
          <w:sz w:val="20"/>
        </w:rPr>
        <w:t>Our security systems are designed to maintain the physical security of our facilities and information systems and protect our confidential information and that of our customers, suppliers and employees. Accidental or willful security breaches or incidents or other unauthorized access to our facilities or our information systems or the existence of computer viruses or other malicious code or security vulnerabilities in our data or software could expose us to a risk of loss, unavailability, misappropriation and other unauthorized processing of proprietary and confidential information. Our efforts to eliminate or alleviate cyber or other security problems, bugs, viruses, ransomware and other malicious software programs and security vulnerabilities could impose significant costs, may not be successful, and could result in interruptions and delays that may impede critical functions.</w:t>
      </w:r>
    </w:p>
    <w:p>
      <w:pPr>
        <w:pStyle w:val="TextBody"/>
        <w:bidi w:val="0"/>
        <w:jc w:val="left"/>
        <w:rPr>
          <w:rFonts w:ascii="Times New Roman" w:hAnsi="Times New Roman"/>
          <w:color w:val="000000"/>
          <w:sz w:val="20"/>
        </w:rPr>
      </w:pPr>
      <w:r>
        <w:rPr>
          <w:rFonts w:ascii="Times New Roman" w:hAnsi="Times New Roman"/>
          <w:color w:val="000000"/>
          <w:sz w:val="20"/>
        </w:rPr>
        <w:t xml:space="preserve">Security breaches and incidents, computer malware and computer hacking attacks have become more prevalent and sophisticated. These threats are constantly evolving, making it difficult to defend against or implement preventive measures, and we may face difficulties or delays in identifying and otherwise responding to any security breach or incident. The prevalence and use of new AI tools, both externally by third parties and internally by our employees, exacerbates these risks. Moreover, remote work by our personnel and remote access to our systems increase our cybersecurity risk profile. We expect to incur significant costs in an effort to detect and prevent security breaches and incidents, and any actual or perceived security breach or incident may require us to incur significant costs in notifying relevant persons and entities and may otherwise increase our costs and require us to expend substantial resources. Our policies and security measures cannot guarantee security, and our information technology (IT) infrastructure, including our networks and systems, may be vulnerable to security breaches and incidents, cyber-attacks, or fraud. Third parties have attempted, and will likely continue to attempt, to penetrate and/or infect our network and systems with malicious software and phishing attacks in an effort to gain access to our network and systems. Hackers or others may be able to penetrate our security controls, misappropriate or compromise our confidential information or that of third parties, deploy viruses, worms, ransomware or other malicious code, or cause damage or disruptions to our IT infrastructure. For portions of our IT infrastructure, we rely on offerings provided by third parties. These third-party offerings relate to, among other things, human resources, electronic communication services and some finance functions, and we are dependent on these third parties' security systems. These third parties are subject to similar, and in certain cases greater, security threats than we face. These third parties may also experience breaches, incidents, and attacks compromising or otherwise impacting their offerings, and their offerings may contain security vulnerabilities or malicious code, or otherwise detrimentally impact our systems. Any unauthorized access to, or other security breaches or incidents impacting, the systems of our service providers, or any computer viruses, ransomware or other malicious code in their data or software, could expose us to risks of unauthorized access to our IT infrastructure and loss, misappropriation, unavailability and other unauthorized processing of information. Security breaches and incidents may also result from non-technical means, such as employee or contractor malfeasance or negligence. Any security breach or incident or theft, misuse, loss, unavailability or other unauthorized processing of information, or the perception that any of these matters has occurred, could result in, among other things, damage to our reputation, allegations by our customers that we have not performed our contractual obligations, regulatory investigations and other proceedings,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litigation and possible penalties, damages, and other liabilities, any of which could have a material adverse effect on our business, financial condition, our reputation, and our relationships with our customers and partners. We may also encounter or be subject to bugs, errors, or hacking or other events resulting in system interruptions or other disruptions, corruption or loss of data, an inability to accurately process or record transactions, and security or technical reliability issues. All of these could harm our ability to conduct core operating functions and could impact our internal control compliance efforts. Due to conflicts and geopolitical events, we and many third parties we work with are vulnerable to a heightened risk of cybersecurity attacks, and other means of causing security breaches and incidents from nation-state and affiliated actors. The use of AI technologies may result in security breaches and incidents, and our use of AI technologies may create additional cybersecurity risks or increase cybersecurity risks, including risks of security breaches and incidents. Further, AI technologies may be used in connection with certain cybersecurity attacks and may increase the intensity or effectiveness of such attacks or otherwise create heightened cybersecurity risks.</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we cannot be certain that our insurance coverage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these results could adversely affect our business, financial condition, and operating results. </w:t>
      </w:r>
    </w:p>
    <w:p>
      <w:pPr>
        <w:pStyle w:val="TextBody"/>
        <w:bidi w:val="0"/>
        <w:jc w:val="left"/>
        <w:rPr>
          <w:rFonts w:ascii="Times New Roman" w:hAnsi="Times New Roman"/>
          <w:b/>
          <w:i/>
          <w:color w:val="000000"/>
          <w:sz w:val="20"/>
        </w:rPr>
      </w:pPr>
      <w:r>
        <w:rPr>
          <w:rFonts w:ascii="Times New Roman" w:hAnsi="Times New Roman"/>
          <w:b/>
          <w:i/>
          <w:color w:val="000000"/>
          <w:sz w:val="20"/>
        </w:rPr>
        <w:t>While we intend to continue to invest in research and development, we may be unable to make the substantial investments that are required to remain competitive in our business.</w:t>
      </w:r>
    </w:p>
    <w:p>
      <w:pPr>
        <w:pStyle w:val="TextBody"/>
        <w:bidi w:val="0"/>
        <w:jc w:val="left"/>
        <w:rPr>
          <w:rFonts w:ascii="Times New Roman" w:hAnsi="Times New Roman"/>
          <w:color w:val="000000"/>
          <w:sz w:val="20"/>
        </w:rPr>
      </w:pPr>
      <w:r>
        <w:rPr>
          <w:rFonts w:ascii="Times New Roman" w:hAnsi="Times New Roman"/>
          <w:color w:val="000000"/>
          <w:sz w:val="20"/>
        </w:rPr>
        <w:t>The semiconductor industry requires substantial investment in research and development in order to bring to market new and enhanced solutions. Our research and development expense was approximately $238.5 million, $226.1 million and $215.1 million in fiscal years 2026, 2025 and 2024, respectively. For the six months ended July 31, 2026, our research and development expense was approximately $108.7 million. In general, we expect to increase our research and development expenditures in future periods as compared to prior periods as part of our strategy of focusing on the development of innovative AI inference SoCs with increasing levels of functionality and as we target new markets. We are unable to predict whether we will have sufficient resources to achieve the level of investment in research and development required to remain competitive. For example, development in the latest process nodes, such as 4 nanometer, or nm, or smaller, costs significantly more than required to develop in larger process nodes. This added cost could prevent us from being able to achieve or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 In addition, the U.S. government recently introduced regulations that require notification of, or prohibit certain transactions with entities in China or with linkages to China, which could apply to certain intracompany activities between a U.S. based corporation and its China subsidiaries that support research and development activities, which could limit our ability to carry out certain research and development activities in China.</w:t>
      </w:r>
    </w:p>
    <w:p>
      <w:pPr>
        <w:pStyle w:val="TextBody"/>
        <w:bidi w:val="0"/>
        <w:jc w:val="left"/>
        <w:rPr>
          <w:rFonts w:ascii="Times New Roman" w:hAnsi="Times New Roman"/>
          <w:b/>
          <w:i/>
          <w:color w:val="000000"/>
          <w:sz w:val="20"/>
        </w:rPr>
      </w:pPr>
      <w:r>
        <w:rPr>
          <w:rFonts w:ascii="Times New Roman" w:hAnsi="Times New Roman"/>
          <w:b/>
          <w:i/>
          <w:color w:val="000000"/>
          <w:sz w:val="20"/>
        </w:rPr>
        <w:t>We rely on highly skilled personnel and, if we are unable to hire, retain or motivate key personnel, we may not be able to grow effectively, which could harm our business.</w:t>
      </w:r>
    </w:p>
    <w:p>
      <w:pPr>
        <w:pStyle w:val="TextBody"/>
        <w:bidi w:val="0"/>
        <w:jc w:val="left"/>
        <w:rPr>
          <w:rFonts w:ascii="Times New Roman" w:hAnsi="Times New Roman"/>
          <w:color w:val="000000"/>
          <w:sz w:val="20"/>
        </w:rPr>
      </w:pPr>
      <w:r>
        <w:rPr>
          <w:rFonts w:ascii="Times New Roman" w:hAnsi="Times New Roman"/>
          <w:color w:val="000000"/>
          <w:sz w:val="20"/>
        </w:rPr>
        <w:t>We believe our performance depends in large part on the talents and efforts of our senior management and other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AI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senior executives and employees. Our continued ability to compete effectively, and to grow our business, depends on our ability to attract new employees, including VLSI and AI engineers, and to retain and motivate our existing senior executives and employees.</w:t>
      </w:r>
    </w:p>
    <w:p>
      <w:pPr>
        <w:pStyle w:val="TextBody"/>
        <w:bidi w:val="0"/>
        <w:jc w:val="left"/>
        <w:rPr>
          <w:rFonts w:ascii="Times New Roman" w:hAnsi="Times New Roman"/>
          <w:b/>
          <w:i/>
          <w:color w:val="000000"/>
          <w:sz w:val="20"/>
        </w:rPr>
      </w:pPr>
      <w:r>
        <w:rPr>
          <w:rFonts w:ascii="Times New Roman" w:hAnsi="Times New Roman"/>
          <w:b/>
          <w:i/>
          <w:color w:val="000000"/>
          <w:sz w:val="20"/>
        </w:rPr>
        <w:t>The average selling prices of semiconductor solutions in our target markets have typically decreased over time and will likely do so in the future, which could harm our revenue and gross margins.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such as our new inference AI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to attract new customers or retain existing customers, new product introductions by us or our competitors and other factors. We expect that we will have to address pricing pressures again in the future, particularly in markets experiencing consolidation or with respect to our larger end customers, which could require us to reduce the prices of our SoC solutions and harm our operating results.</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manage any future growth, we may not be able to execute our business plan and our operating results could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business has, at times,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industrial, robotics and intelligent transportation systems.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likely to incur the costs associated with any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pStyle w:val="TextBody"/>
        <w:bidi w:val="0"/>
        <w:jc w:val="left"/>
        <w:rPr>
          <w:rFonts w:ascii="Times New Roman" w:hAnsi="Times New Roman"/>
          <w:b/>
          <w:i/>
          <w:color w:val="000000"/>
          <w:sz w:val="20"/>
        </w:rPr>
      </w:pPr>
      <w:r>
        <w:rPr>
          <w:rFonts w:ascii="Times New Roman" w:hAnsi="Times New Roman"/>
          <w:b/>
          <w:i/>
          <w:color w:val="000000"/>
          <w:sz w:val="20"/>
        </w:rPr>
        <w:t>Deterioration of the financial conditions of our customers could adversely affect our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Deterioration of the financial condition of our distributors or customers could adversely impact our future revenues and collection of accounts receivable. For the fiscal year ended January 31, 2026, the customer representing 10% or more of revenue was WT, which accounted for approximately 70% of total revenue. For the six months ended July 31, 2026, the customers representing 10% or more of revenue were WT and Hakuto, which accounted for approximately 61% and 10% of total revenue, respectively. As of July 31, 2026, accounts receivable with WT and Hakuto were approximately $17.2 million and $4.8 million, respectively.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and cash flows would be negatively impacted.</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the cyclical nature of the semiconductor industry.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semiconductor industry is highly cyclical and is characterized by constant and rapid technological change, rapid product obsolescence, price erosion, evolving standards, short product life cycles and wide fluctuations in product supply and demand. Cyclical downturns have been characterized by diminished product demand, production overcapacity, high inventory levels and accelerated erosion of average selling prices, which could harm our business and operating results. We are dependent on the availability of third-party foundry and assembly capacity to manufacture and assemble our SoC solutions. None of our third-party foundry or assembly contractors has provided assurances that adequate capacity will be available to us in the future. The semiconductor industry recently experienced significant shortages of capacity, which resulted in a lengthening of the manufacturing lead time for our products. Such capacity shortages could negatively impact our ability to meet our customers’ demand for our products and have an adverse impact on our revenue, results of operations and customer relationships. We have also experienced, during times of supply chain capacity shortage, customers placing orders for our products that exceed their actual demand, which may lead to us manufacturing a surplus of products and could have a negative impact on our results of operations and cash reserves if they cancel their orders. The semiconductor industry is facing shortages of capacity for certain components used by our customers and certain semiconductor assembly processes, which could have an adverse impact on demand for our products, increase our expenses, impact customer relationships and otherwise negatively impact our results of operations. Challenges may recur in future periods with changes in the macro-economic environment, including imposition of higher or additional tariffs by the U.S. Government on imports and new or additional restrictions on exports to foreign locations.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pStyle w:val="TextBody"/>
        <w:bidi w:val="0"/>
        <w:jc w:val="left"/>
        <w:rPr>
          <w:rFonts w:ascii="Times New Roman" w:hAnsi="Times New Roman"/>
          <w:b/>
          <w:i/>
          <w:color w:val="000000"/>
          <w:sz w:val="20"/>
        </w:rPr>
      </w:pPr>
      <w:r>
        <w:rPr>
          <w:rFonts w:ascii="Times New Roman" w:hAnsi="Times New Roman"/>
          <w:b/>
          <w:i/>
          <w:color w:val="000000"/>
          <w:sz w:val="20"/>
        </w:rPr>
        <w:t>We may experience difficulties in transitioning to new wafer fabrication process technologies or in achieving higher levels of design integration, which may result in reduced manufacturing yields, delays in product deliveries and increased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may face difficulties, delays and increased expense as we transition our products to new processes, such as the 2 nm process node,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 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 </w:t>
      </w:r>
    </w:p>
    <w:p>
      <w:pPr>
        <w:pStyle w:val="TextBody"/>
        <w:bidi w:val="0"/>
        <w:jc w:val="left"/>
        <w:rPr>
          <w:rFonts w:ascii="Times New Roman" w:hAnsi="Times New Roman"/>
          <w:b/>
          <w:i/>
          <w:color w:val="000000"/>
          <w:sz w:val="20"/>
        </w:rPr>
      </w:pPr>
      <w:r>
        <w:rPr>
          <w:rFonts w:ascii="Times New Roman" w:hAnsi="Times New Roman"/>
          <w:b/>
          <w:i/>
          <w:color w:val="000000"/>
          <w:sz w:val="20"/>
        </w:rPr>
        <w:t>Rapidly changing industry standards could make our video and image processing solutions obsolete, which would cause our operating results to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design our solutions to conform to a broad range of technology standards set by industry standards setting bodies, including video compression standards such as MPEG-2, H.264 Advanced Video Coding (AVC) and H.265 High Efficiency Video Coding (HEVC). In addition, new or revised industry standards relating to AI technologies may impose additional requirements. Generally, our solutions comprise only a part of a customer’s device. All components of these devices must uniformly comply with industry standards in order to operate efficiently together.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w:t>
      </w:r>
    </w:p>
    <w:p>
      <w:pPr>
        <w:pStyle w:val="TextBody"/>
        <w:bidi w:val="0"/>
        <w:jc w:val="left"/>
        <w:rPr>
          <w:rFonts w:ascii="Times New Roman" w:hAnsi="Times New Roman"/>
          <w:b/>
          <w:i/>
          <w:color w:val="000000"/>
          <w:sz w:val="20"/>
        </w:rPr>
      </w:pPr>
      <w:r>
        <w:rPr>
          <w:rFonts w:ascii="Times New Roman" w:hAnsi="Times New Roman"/>
          <w:b/>
          <w:i/>
          <w:color w:val="000000"/>
          <w:sz w:val="20"/>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pStyle w:val="TextBody"/>
        <w:bidi w:val="0"/>
        <w:jc w:val="left"/>
        <w:rPr>
          <w:rFonts w:ascii="Times New Roman" w:hAnsi="Times New Roman"/>
          <w:color w:val="000000"/>
          <w:sz w:val="20"/>
        </w:rPr>
      </w:pPr>
      <w:r>
        <w:rPr>
          <w:rFonts w:ascii="Times New Roman" w:hAnsi="Times New Roman"/>
          <w:color w:val="000000"/>
          <w:sz w:val="20"/>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complexity and costs of managing international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longer and more difficult collection of receivables from customers;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enforcing contracts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regional economic instability;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instability and military conflicts, including the ongoing conflicts in Ukraine and the Middle East;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protection of our intellectual property and other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local laws and regulations and unanticipated changes in local laws and regulations, including tax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and foreign exchange restrictions and higher and/or additional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travel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and availability of import and export licenses and other governmental approvals, permits and licenses, including export classification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exchange fluctuations relating to our international operating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imposed by the U.S. government on our ability to do business with certain companies or in certain countries as a result of international political conflicts;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transportation delays and other consequences of limited local infrastructure, and disruptions, such as large-scale outages or interruptions of service from utilities or telecommunications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heightened risk of terrorist 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local business and cultural factors that differ from standards and practices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employment practices and labor relations;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regional health issues, pandemics, and natural disasters;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 stoppages.</w:t>
      </w:r>
    </w:p>
    <w:p>
      <w:pPr>
        <w:pStyle w:val="TextBody"/>
        <w:bidi w:val="0"/>
        <w:jc w:val="left"/>
        <w:rPr>
          <w:rFonts w:ascii="Times New Roman" w:hAnsi="Times New Roman"/>
          <w:b/>
          <w:i/>
          <w:color w:val="000000"/>
          <w:sz w:val="20"/>
        </w:rPr>
      </w:pPr>
      <w:r>
        <w:rPr>
          <w:rFonts w:ascii="Times New Roman" w:hAnsi="Times New Roman"/>
          <w:b/>
          <w:i/>
          <w:color w:val="000000"/>
          <w:sz w:val="20"/>
        </w:rPr>
        <w:t>We face tax risks, including relating to the complexity of calculating our tax provision, changes in statutory tax rates, or unfavorable tax law changes.</w:t>
      </w:r>
    </w:p>
    <w:p>
      <w:pPr>
        <w:pStyle w:val="TextBody"/>
        <w:bidi w:val="0"/>
        <w:jc w:val="left"/>
        <w:rPr>
          <w:rFonts w:ascii="Times New Roman" w:hAnsi="Times New Roman"/>
          <w:color w:val="000000"/>
          <w:sz w:val="20"/>
        </w:rPr>
      </w:pPr>
      <w:r>
        <w:rPr>
          <w:rFonts w:ascii="Times New Roman" w:hAnsi="Times New Roman"/>
          <w:color w:val="000000"/>
          <w:sz w:val="20"/>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The risk of errors may be exacerbated by the significant number of tax law changes recently enacted in the United States and other jurisdictions. Restatements are generally costly and could adversely impact our results of operations or have a negative impact on the trading price of our ordinary shares.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Financial Performance or Results</w:t>
      </w:r>
    </w:p>
    <w:p>
      <w:pPr>
        <w:pStyle w:val="TextBody"/>
        <w:bidi w:val="0"/>
        <w:jc w:val="left"/>
        <w:rPr>
          <w:rFonts w:ascii="Times New Roman" w:hAnsi="Times New Roman"/>
          <w:b/>
          <w:i/>
          <w:color w:val="000000"/>
          <w:sz w:val="20"/>
        </w:rPr>
      </w:pPr>
      <w:r>
        <w:rPr>
          <w:rFonts w:ascii="Times New Roman" w:hAnsi="Times New Roman"/>
          <w:b/>
          <w:i/>
          <w:color w:val="000000"/>
          <w:sz w:val="20"/>
        </w:rPr>
        <w:t>Fluctuations in our operating results on a quarterly and annual basis could cause the market price of our ordinary shares to decline.</w:t>
      </w:r>
    </w:p>
    <w:p>
      <w:pPr>
        <w:pStyle w:val="TextBody"/>
        <w:bidi w:val="0"/>
        <w:jc w:val="left"/>
        <w:rPr>
          <w:rFonts w:ascii="Times New Roman" w:hAnsi="Times New Roman"/>
          <w:color w:val="000000"/>
          <w:sz w:val="20"/>
        </w:rPr>
      </w:pPr>
      <w:r>
        <w:rPr>
          <w:rFonts w:ascii="Times New Roman" w:hAnsi="Times New Roman"/>
          <w:color w:val="000000"/>
          <w:sz w:val="20"/>
        </w:rPr>
        <w:t>Our revenue and operating results have fluctuated significantly from period to period in the past and are likely to do so in the future. As a result, you should not rely on period-to-period comparisons of our operating results as an indication of our future performance. It is also possible that our normal seasonal patterns will be impacted by ongoing macroeconomic uncertainty, future pandemics or disease outbreaks, supply chain disruptions and semiconductor capacity shortages, including the buildup of inventory by customers in response to such shortages, and continued high inflation. In future periods, our forecasted or actual revenue and results of operations may be below the expectations of analysts and investors, which could cause the market price of our ordinary shares to decline.</w:t>
      </w:r>
    </w:p>
    <w:p>
      <w:pPr>
        <w:pStyle w:val="TextBody"/>
        <w:bidi w:val="0"/>
        <w:jc w:val="left"/>
        <w:rPr>
          <w:rFonts w:ascii="Times New Roman" w:hAnsi="Times New Roman"/>
          <w:color w:val="000000"/>
          <w:sz w:val="20"/>
        </w:rPr>
      </w:pPr>
      <w:r>
        <w:rPr>
          <w:rFonts w:ascii="Times New Roman" w:hAnsi="Times New Roman"/>
          <w:color w:val="000000"/>
          <w:sz w:val="20"/>
        </w:rPr>
        <w:t>Factors that may affect our operating results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demand, sales cycles, product mix, and prices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forecasting, scheduling, rescheduling or cancellation of orders by our customers;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shifts in consumer or manufacturer preferences and any resultant change in demand for our customers’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competitive dynamics of our markets, including new entrants or pricing pressures;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our customers’ ability to manufacture and ship products that incorporate our solutions caused by internal and external factors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define, design and release new solutions in a timely manner that meet our customers’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availability of adequate manufacturing capacity from our manufacturing subcontractors;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manufacturing costs, including wafer, test and assembly costs, mask costs, manufacturing yields and product quality and reliability;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product announcements by our competitors or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incurrence of research and development and related new products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write-downs of inventory for excess quantities and technological obsolescence;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investment or other asset values;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accounting pronouncements and changes in accounting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volatility in our share price, which may lead to higher stock-based compensation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volatility in our effective tax 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socioeconomic and political conditions in the countries where we operate or where our products are sold or used, including recent macroeconomic volatility, pandemics or widespread public health problems, U.S.-China relations and the conditions in Hong Kong;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litigation, especially related to intellectual property.</w:t>
      </w:r>
    </w:p>
    <w:p>
      <w:pPr>
        <w:pStyle w:val="TextBody"/>
        <w:bidi w:val="0"/>
        <w:jc w:val="left"/>
        <w:rPr>
          <w:rFonts w:ascii="Times New Roman" w:hAnsi="Times New Roman"/>
          <w:color w:val="000000"/>
          <w:sz w:val="20"/>
        </w:rPr>
      </w:pPr>
      <w:r>
        <w:rPr>
          <w:rFonts w:ascii="Times New Roman" w:hAnsi="Times New Roman"/>
          <w:color w:val="000000"/>
          <w:sz w:val="20"/>
        </w:rPr>
        <w:t xml:space="preserve">Moreover, the semiconductor industry has historically been cyclical in nature, reflecting overall economic conditions as well as budgeting and buying patterns of consumers. For example, the semiconductor industry recently experienced significant shortages of capacity, which resulted in a lengthening of the manufacturing lead time for our products and could be impacting the normal forecasting and ordering patterns of our customers. In recent periods, some customers have indicated they are reducing their inventory levels as lead times for semiconductor chips and other components used by customers shrink, which has reduced, and may continue to reduce, such customers’ demand for our products in future periods.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profitability and cash flows, or incur losses.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Fluctuations in exchange rates between and among the currencies of the countries in which we do business may adversely affect our operating results.</w:t>
      </w:r>
    </w:p>
    <w:p>
      <w:pPr>
        <w:pStyle w:val="TextBody"/>
        <w:bidi w:val="0"/>
        <w:jc w:val="left"/>
        <w:rPr>
          <w:rFonts w:ascii="Times New Roman" w:hAnsi="Times New Roman"/>
          <w:color w:val="000000"/>
          <w:sz w:val="20"/>
        </w:rPr>
      </w:pPr>
      <w:r>
        <w:rPr>
          <w:rFonts w:ascii="Times New Roman" w:hAnsi="Times New Roman"/>
          <w:color w:val="000000"/>
          <w:sz w:val="20"/>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customers located outside the United States, primarily in Asia and we anticipate that this will continue. Sales to customers in Asia accounted for approximately 88%, 85% and 79% of our total revenue in fiscal years 2026, 2025 and 2024, respectively. For the six months ended July 31, 2026, sales to customers in Asia accounted for approximately 84% of total revenue.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pStyle w:val="TextBody"/>
        <w:bidi w:val="0"/>
        <w:jc w:val="left"/>
        <w:rPr>
          <w:rFonts w:ascii="Times New Roman" w:hAnsi="Times New Roman"/>
          <w:color w:val="000000"/>
          <w:sz w:val="20"/>
        </w:rPr>
      </w:pPr>
      <w:r>
        <w:rPr>
          <w:rFonts w:ascii="Times New Roman" w:hAnsi="Times New Roman"/>
          <w:color w:val="000000"/>
          <w:sz w:val="20"/>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pStyle w:val="TextBody"/>
        <w:bidi w:val="0"/>
        <w:jc w:val="left"/>
        <w:rPr>
          <w:rFonts w:ascii="Times New Roman" w:hAnsi="Times New Roman"/>
          <w:b/>
          <w:i/>
          <w:color w:val="000000"/>
          <w:sz w:val="20"/>
        </w:rPr>
      </w:pPr>
      <w:r>
        <w:rPr>
          <w:rFonts w:ascii="Times New Roman" w:hAnsi="Times New Roman"/>
          <w:b/>
          <w:i/>
          <w:color w:val="000000"/>
          <w:sz w:val="20"/>
        </w:rPr>
        <w:t>We cannot predict our future capital needs, and we may not be able to obtain additional financing to fund our operations.</w:t>
      </w:r>
    </w:p>
    <w:p>
      <w:pPr>
        <w:pStyle w:val="TextBody"/>
        <w:bidi w:val="0"/>
        <w:jc w:val="left"/>
        <w:rPr>
          <w:rFonts w:ascii="Times New Roman" w:hAnsi="Times New Roman"/>
          <w:color w:val="000000"/>
          <w:sz w:val="20"/>
        </w:rPr>
      </w:pPr>
      <w:r>
        <w:rPr>
          <w:rFonts w:ascii="Times New Roman" w:hAnsi="Times New Roman"/>
          <w:color w:val="000000"/>
          <w:sz w:val="20"/>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pStyle w:val="TextBody"/>
        <w:bidi w:val="0"/>
        <w:jc w:val="left"/>
        <w:rPr>
          <w:rFonts w:ascii="Times New Roman" w:hAnsi="Times New Roman"/>
          <w:b/>
          <w:i/>
          <w:color w:val="000000"/>
          <w:sz w:val="20"/>
        </w:rPr>
      </w:pPr>
      <w:r>
        <w:rPr>
          <w:rFonts w:ascii="Times New Roman" w:hAnsi="Times New Roman"/>
          <w:b/>
          <w:i/>
          <w:color w:val="000000"/>
          <w:sz w:val="20"/>
        </w:rPr>
        <w:t>Our marketable securities portfolio could experience a decline in market value or otherwise become illiquid, which could materially and adversely affect our financial results.</w:t>
      </w:r>
    </w:p>
    <w:p>
      <w:pPr>
        <w:pStyle w:val="TextBody"/>
        <w:bidi w:val="0"/>
        <w:jc w:val="left"/>
        <w:rPr>
          <w:rFonts w:ascii="Times New Roman" w:hAnsi="Times New Roman"/>
          <w:color w:val="000000"/>
          <w:sz w:val="20"/>
        </w:rPr>
      </w:pPr>
      <w:r>
        <w:rPr>
          <w:rFonts w:ascii="Times New Roman" w:hAnsi="Times New Roman"/>
          <w:color w:val="000000"/>
          <w:sz w:val="20"/>
        </w:rPr>
        <w:t>As of July 31, 2026, we had approximately $170.5 million invested in marketable debt securities. The marketable debt security investments primarily consisted of money market funds, corporate bonds, asset-backed securities, U.S. government securities and commercial paper.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pandemics or widespread public health problems, the Eurozone crisis, the U.S. debt ceiling crisis, and imposition of tariffs, which affected various sectors of the financial markets and led to global credit and liquidity issues. We regularly maintain cash balances that are not insured or are in excess of the Federal Deposit Insurance Corporation’s (FDIC) insurance limit. If the global financial markets continue to experience volatility or deteriorate, our investment portfolio may be impacted and some or all of our investments may become illiquid or otherwise experience loss which could adversely impact our financial results and position. To the extent that we increase the amount of our security investments in the future, these risks would be exacerbated.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jc w:val="left"/>
        <w:rPr>
          <w:rFonts w:ascii="Times New Roman" w:hAnsi="Times New Roman"/>
          <w:b/>
          <w:i/>
          <w:color w:val="000000"/>
          <w:sz w:val="20"/>
        </w:rPr>
      </w:pPr>
      <w:r>
        <w:rPr>
          <w:rFonts w:ascii="Times New Roman" w:hAnsi="Times New Roman"/>
          <w:b/>
          <w:i/>
          <w:color w:val="000000"/>
          <w:sz w:val="20"/>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Sigurd Corporation or King Yuan Electronics Co., Ltd. under the supervision of our engineers. We depend on these third parties to supply us with material of a requested quantity in a timely manner that meets our standards for yield, cost and manufacturing quality.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 The increasing demand for semiconductor chips for use in AI datacenter applications could cause our supply chain to prioritize their hyperscale customers over our production needs, which could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do not have long-term supply contracts with our third-party manufacturing vendors, and they may not allocate sufficient capacity to us at reasonable prices to meet future demands for our solutions.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semiconductor industry is subject to intense competitive pricing pressure from customers and competitors. Accordingly, any increase in the cost of our solutions, whether by adverse purchase price variances, adverse manufacturing cost variances or supply chain disruptions,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We have experienced and may again experience in the future supply constraints at our primary foundry and assembly vendors resulting from industry wide supply chain challenges, which has and could again, negatively impact our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In addition, the current high demand for semiconductor chips for use in AI datacenter applications could cause our supply chain to prioritize their hyperscale customers over our production needs, which could harm our business.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4 nm or 2 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foundry vendors do not achieve satisfactory yields or quality, our reputation and customer relationships could be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We do not seek to maintain sufficient inventory to address a lengthy transition period because we believe it is uneconomical. As a result, we may not be able to meet customer needs during such a transition, which could result in a decline in our sales, negatively impact our financial results and damage our customer relationships.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 substantial portion of our revenue is processed through a single distributor and the loss of this distributor may cause disruptions in our shipments, which may adversely affect our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sell a significant percentage of our solutions through a single distributor, WT, which serves as our non-exclusive sales representative and fulfillment partner in Asia other than Japan. Approximately 70%, 63% and 53% of our revenue was derived from sales through WT for the fiscal years ended January 31, 2026, 2025 and 2024, respectively, and approximately 61% of our revenue was derived from sales through WT for the six months ended July 31, 2026. We anticipate that a significant portion of our revenue will continue to be derived from sales through WT in the foreseeable future. Our current agreement with WT is effective until January 2029,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risks associated with our distributors' product inventories.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rely on third-party vendors to supply software development tools and intellectual property to us for the development of our new products, and we may be unable to obtain the tools necessary to develop or enhance new or existing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We also rely upon third-party intellectual property to enable certain advanced features in our products. In the future, the design requirements necessary to meet consumer demands for more features and greater functionality from our solutions may exceed the capabilities of available intellectual property and software development tools. Unavailability of software development tools or intellectual property may result in our missing design cycles or losing design wins, either of which could result in a loss of market share or negatively impact our operating results.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of the importance of software development tools to the development and enhancement of our solutions, our relationships with leaders in the computer-aided design industry, including Cadence Design Systems, Inc., Mentor Graphics Corporation, Imagination Technologies Ltd.,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rely on third parties to provide services and technology necessary for the operation of our business. Any failure of one or more of our vendors, suppliers or licensors to provide such services or technology could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Any disruption to the operations of our third-party contractors and their suppliers could cause significant delays in the production or shipment of our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We have had disruptions in the past due to natural disasters disrupting the operations of our suppliers and this could happen again.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Legal and Regulatory Environment</w:t>
      </w:r>
    </w:p>
    <w:p>
      <w:pPr>
        <w:pStyle w:val="TextBody"/>
        <w:bidi w:val="0"/>
        <w:jc w:val="left"/>
        <w:rPr>
          <w:rFonts w:ascii="Times New Roman" w:hAnsi="Times New Roman"/>
          <w:b/>
          <w:i/>
          <w:color w:val="000000"/>
          <w:sz w:val="20"/>
        </w:rPr>
      </w:pPr>
      <w:r>
        <w:rPr>
          <w:rFonts w:ascii="Times New Roman" w:hAnsi="Times New Roman"/>
          <w:b/>
          <w:i/>
          <w:color w:val="000000"/>
          <w:sz w:val="20"/>
        </w:rPr>
        <w:t>Global political conditions, including trade relations and regulations, may have an impact on our business and financial condition in ways that we currently cannot predict.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operations and performance depend significantly on global, regional and U.S. economic and geopolitical conditions. Customer demand for our solutions may be negatively impacted by weak economic conditions, high inflation or recessionary environments in the US and other nations. Inflation or other deteriorations in global economic conditions may impact our operating expenses and third parties may demand pricing accommodations, which could harm our ability to meet customer demands or collect revenue or otherwise harm our business and financial results.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trade tensions between the United States and China have escalated, which has, in our view, created and will perpetuate an uncertain business environment. Tariffs on Chinese-origin products increased and may do so further. The specific duty rates have fluctuated, with the United States imposing, revoking, and postponing various tariffs. Similarly, China has taken measures in response, including increased tariffs on U.S. products and the imposition of new export controls on rare earth metals, critical minerals, and other items. Further U.S. government investigations are currently underway that may result in new tariffs on certain products, including semiconductors, computers, and other products derivative of critical minerals. We are closely monitoring U.S. tariff policies, and retaliatory tariffs and actions from U.S. trading partners, which could have an adverse impact on our business and financial results. The full impact of these tariff measures on our business is uncertain.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in 2022, the U.S. government announced new controls restricting the ability to send certain products and technology related to semiconductors, semiconductor manufacturing, advanced computing, supercomputing, and artificial intelligence to China, including Hong Kong and Macau, without an export license. In many cases, these licenses are subject to a policy of denial and will not be issued. These controls have continued to expand both in scope and to include additional countries. While our current products are not restricted by these controls, such controls could impact our ability to export products to China in the future. It also is possible that the Chinese government will retaliate in ways that could impact our business. End-user and end-use restrictions continue to evolve and may change what we can provide to certain entities both in China and other countries.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negative impacts from existing tariffs and trade restrictions,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A large portion of our employee base is in China and impacts to our China offices could significantly harm our operations, make it difficult to support customers and negatively impact product development. The materialization of these risks could have a material adverse effect on our business and financial condition. Further, our business and performance are subject to economic conditions, and our suppliers, distributors, and customers may suffer their own financial and economic challenges.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U.S. government recently introduced regulations that require notification of or prohibit certain transactions by the Company with entities in China or with linkages to China. These regulations could apply to certain intracompany activities with our China subsidiary or other activities with entities in China or with linkages to China. These regulations could also limit the ability of others to transact certain business with the Company if those transactions involve or benefit, directly or indirectly our operations in China.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Russia’s ongoing conflict with Ukraine has triggered significant sanctions from U.S. and European leaders. Changes in U.S. trade policy could trigger retaliatory actions by Russia, its allies and other affected countries, including China, resulting in a trade war. These sanctions and restrictions have continued to increase as the conflict has further escalated, and the United States and other countries could impose wider sanctions and export restrictions and take other actions in the future that could impact our business. Furthermore, if the conflict between Russia and Ukraine continues, or if other countries, including the U.S., become further involved in the conflict, we could face significant adverse effects to our business and financial condition.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significant business operations in Taiwan, including 380 employees as of July 31, 2026,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governmental export and import controls that could subject us to liability or impair our ability to compete in international markets.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sell our products to several Chinese customers has been restricted.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Several of our Chinese customers have been added to the BIS Entity List, which imposes limitations on the supply of U.S. controlled items to the listed entities. These customers have sought to, and may continue to seek to, obtain similar or substitute products from our competitors that are not subject to these limitations or to develop similar or substitute products themselves. We also cannot be certain what additional actions the U.S. government may take with respect to any of our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warranty and product liability claims and to product recalls.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are subject to governmental laws, regulations and other legal obligations related to data processing, privacy, data protection and cybersecurity.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legislative and regulatory framework for data processing, privacy, data protection and cybersecurity issues worldwide is rapidly evolving and is likely to remain uncertain for the foreseeable future. We collect, maintain, transfer and otherwise process personal information and other data as part of our business processes and activities. These actions are subject to a variety of U.S. and international laws and regulations, and oversight by various regulatory or other governmental bodies. Many foreign countries and governmental bodies, including China, the European Union and other relevant jurisdictions where we conduct business, have laws and regulations concerning these matters that are more restrictive than those in the U.S. For example, the European Union has adopted the General Data Protection Regulation, or GDPR, which imposed stringent data protection requirements and provided for substantial penalties for noncompliance, including the potential for fines of up to €20 million or 4% of the annual global revenues of the noncompliant entity, whichever is greater. The United Kingdom has adopted legislation that substantially implements the GDPR and provides for a similar penalty structure. Similarly, California has adopted the California Consumer Privacy Act of 2018, or CCPA, which took effect in 2020. The CCPA was modified by the California Privacy Rights Act of 2020, which became effective on January 1, 2023. Numerous other U.S. states have proposed, and in certain cases enacted privacy laws, many of which are similar to the CCPA. The U.S. Department of Justice has also issued regulations regarding certain bulk sensitive personal data transfers.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2021, the National People’s Congress passed the Data Security Law of the People’s Republic of China (Data Security Law) and China’s Personal Information Protection Law (PIPL). The Data Security Law is the first comprehensive data security legislation in China and aims to regulate a wide range of issues in relation to the collection, storage, processing, use, provision, transaction and publication of any kind of data. The PIPL is the first national-level law comprehensively regulating issues in relation to personal information protection in China, and provides for substantial fines and other remedies. The Data Security Law contains provisions that allow substantial government oversight and includes fines for failure to obtain required approval from China’s cyber and data protection regulators for cross-border personal information-related data transfers.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Aspects of laws and regulations relating to data processing, privacy, data protection and cybersecurity, and their interpretation and enforcement, remain unclear, and these laws and regulations, as well as relevant industry standards or other actual or asserted obligations, may be interpreted or applied in a manner that is inconsistent with our practices or the features of our products or solutions. We may find it necessary to modify our products, solutions or practices and to incur substantial costs and expenses in an effort to comply. Further, in the event of any actual or alleged failure to comply with such laws, regulations, industry standards or other actual or asserted obligations, we could face fines, lawsuits, regulatory investigations, and other claims and penalties, and we could be required to fundamentally change our products or our business practices, which could have an adverse effect on our business. Any inability, or perceived inability, to adequately address data processing, privacy, data protection or cybersecurity concerns, or to comply with applicable laws, regulations, industry standards, or other actual or asserted obligations relating to these matters, even if unfounded, could result in additional cost and liability to us, inhibit sales, damage our reputation and adversely affect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Failure to comply with the U.S. Foreign Corrupt Practices Act, or FCPA, and similar laws associated with our activities outside of the United States could subject us to penalties and other adverse consequences.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face significant risks if we fail to comply with the FCPA and other anti-corruption laws that prohibit improper payments or offers of payment. Anti-corruption and anti-bribery laws have been enforced aggressively in recent years and are interpreted broadly to generally prohibit companies, their employees, agents, representatives, distributors, business partners, and third-party intermediaries from authorizing, offering, or providing, directly or indirectly, improper payments or benefits to recipients in the public or private sector. In many foreign countries, particularly in countries with developing economies, it may be a local custom that businesses operating in such countries engage in business practices that are prohibited by the FCPA or other applicable laws and regulations.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Although we implemented an anti-corruption compliance program, we cannot assure you that none of our employees, agents, representatives, distributors, business partners or third-party intermediaries will take actions in violation of our policies and applicable law, for which we may be ultimately held responsible. Any allegations or violation of the FCPA or other applicable anti-corruption laws could result in whistleblower complaints, investigations, enforcement actions, severe criminal or civil sanctions, fines, adverse media coverage, and suspension or debarment from U.S. government contracting, all of which could have an adverse effect on our reputation, business, financial condition, operating results and cash flows. Responding to any investigation or action will likely result in a materially significant diversion of management’s attention and resources and significant defense costs and other professional fees.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our customers and third-party contractors are subject to increasingly complex environmental regulations and compliance with these regulations may delay or interrupt our operations and adversely affect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Failure to comply with these and similar laws and regulations could subject us to fines, penalties, civil or criminal sanctions, contract damage claims, and take-back of non-compliant products, which could harm our business, reputation and operating results. Similarly,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regulatory compliance requirements, including Section 404 of the Sarbanes-Oxley Act of 2002, which are costly to comply with, and our failure to comply with these requirements could harm our business and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Global Select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applicable tax laws or statutory tax rates or adverse outcomes resulting from examination of our tax returns could adversely affect our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operations are subject to certain taxes, such as income and transaction taxes in the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transfer pricing adjustments, re-organization or restructuring of our businesses, changes in our corporate structure, including the effect of acquisitions on our legal structure, by tax costs related to intercompany realignments, tax effects of share-based compensation, expiration of or lapses in tax incentives, or by changes in tax laws, regulations, accounting principles or interpretations thereof.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Changes in applicable laws could cause us to experience fluctuations in our tax obligations and effective tax rates and otherwise adversely affect our tax positions and/or our tax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example, the Organization for Economic Co-operation and Development has been working on a Base Erosion and Profit Shifting Project and has been issuing guidelines and proposals covering a number of issues, including country-by-country reporting, permanent establishment rules, transfer pricing rules and tax treaties. Many of these changes have been or are in the process of being adopted by numerous countries and could materially and adversely affect our provision for income taxes. One proposal is a framework that ensures an effective global minimum tax rate of 15% on certain multinationals that meet a consolidated revenues threshold of EUR 750 million or equivalent annually (Pillar Two). The Company believes that its consolidated revenues have not exceeded the relevant annual threshold.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the One Big Beautiful Bill Act (OBBBA) was enacted on July 4, 2025, and made a number of changes to existing tax law. The U.S. Treasury Department, the Internal Revenue Service (IRS), and other standard-setting bodies could interpret or issue guidance on how provisions of the OBBBA will be applied or otherwise administered, which can adversely affect our future income tax obligations and effective tax rates.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 changes to global tax laws are likely to occur, and such changes may adversely affect our statutory tax rate, operating results, and cash flow.</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periodic audits or other reviews by tax authorities in the jurisdictions in which we conduct our activities. For example, our income tax returns are subject to continuous examination by the Internal Revenue Service and other tax authorities. Any such audit, examination or review requires management’s time, diverts internal resources and, in the event of an unfavorable outcome, may result in additional tax liabilities or other adjustments to our historical results.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classified as a passive foreign investment company, which could result in adverse U.S. federal income tax consequences for U.S. holders of our ordinary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for any taxable year, either (a) at least 75% of our gross income is passive income or (b) at least 50% of the value of our assets (based on an average of the quarterly values of those assets during the taxable year) is attributable to assets that produce or are held for the production of passive income, in each case including a pro rata portion of the income and assets of each subsidiary in which we own, directly or indirectly, at least 25% by value of such subsidiary’s equity interests, we may be characterized as a passive foreign investment company, or PFIC, for U.S. federal income tax purposes. If we are treated as a PFIC for any taxable year during which a U.S. holder holds ordinary shares, certain adverse U.S. federal income tax consequences could apply for such U.S. holder.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the current and anticipated valuation of our assets and the composition of our income and assets, we do not expect to be considered a PFIC for our 2027 fiscal year. However, a separate determination must be made at the close of each taxable year as to whether we are a PFIC for that taxable year, and we cannot assure you that we will not be a PFIC for our 2028 fiscal year or any future taxable year.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jc w:val="left"/>
        <w:rPr>
          <w:rFonts w:ascii="Times New Roman" w:hAnsi="Times New Roman"/>
          <w:b/>
          <w:i/>
          <w:color w:val="000000"/>
          <w:sz w:val="20"/>
        </w:rPr>
      </w:pPr>
      <w:r>
        <w:rPr>
          <w:rFonts w:ascii="Times New Roman" w:hAnsi="Times New Roman"/>
          <w:b/>
          <w:i/>
          <w:color w:val="000000"/>
          <w:sz w:val="20"/>
        </w:rPr>
        <w:t>Our failure to adequately protect our intellectual property rights could impair our ability to compete effectively or defend ourselves from litigation, which could harm our business,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pStyle w:val="TextBody"/>
        <w:bidi w:val="0"/>
        <w:jc w:val="left"/>
        <w:rPr>
          <w:rFonts w:ascii="Times New Roman" w:hAnsi="Times New Roman"/>
          <w:b/>
          <w:i/>
          <w:color w:val="000000"/>
          <w:sz w:val="20"/>
        </w:rPr>
      </w:pPr>
      <w:r>
        <w:rPr>
          <w:rFonts w:ascii="Times New Roman" w:hAnsi="Times New Roman"/>
          <w:b/>
          <w:i/>
          <w:color w:val="000000"/>
          <w:sz w:val="20"/>
        </w:rPr>
        <w:t>Third parties’ assertions of infringement of their intellectual property rights could result in our having to incur significant costs and cause our operating results to suffer.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semiconductor industry is characterized by vigorous protection and pursuit of intellectual property rights and positions, which has resulted in protracted and expensive litigation for many companies. We and certain of our customers have received, and in the future may receive, communications from others alleging our infringement of their patents, trade secrets or other intellectual property rights. In addition, we and certain of our end customers have been the subject of lawsuits alleging infringement of intellectual property rights by our solutions or products incorporating our solutions, including the assertion that the alleged infringement may be attributable, at least in part, to our technology. Such lawsuits could subject us to significant liability for damages and invalidate our proprietary rights, though this has not occurred to date. Any potential intellectual property litigation also could force us to do one or more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stop selling products or using technology that contain the allegedly infringing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significant legal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substantial damages to the party whose intellectual property rights we may be found to be infringing;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redesign those products that contain the allegedly infringing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attempt to obtain a license to the relevant intellectual property from third parties, which may not be available on reasonable terms or at all;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lose the opportunity to license our technology to others or to collect royalty payments based upon successful protection and assertion of our intellectual property against others.</w:t>
      </w:r>
    </w:p>
    <w:p>
      <w:pPr>
        <w:pStyle w:val="TextBody"/>
        <w:bidi w:val="0"/>
        <w:jc w:val="left"/>
        <w:rPr>
          <w:rFonts w:ascii="Times New Roman" w:hAnsi="Times New Roman"/>
          <w:color w:val="000000"/>
          <w:sz w:val="20"/>
        </w:rPr>
      </w:pPr>
      <w:r>
        <w:rPr>
          <w:rFonts w:ascii="Times New Roman" w:hAnsi="Times New Roman"/>
          <w:color w:val="000000"/>
          <w:sz w:val="20"/>
        </w:rPr>
        <w:t>Any significant impairment of our intellectual property rights from any litigation we face could harm our business and our ability to compete.</w:t>
      </w:r>
    </w:p>
    <w:p>
      <w:pPr>
        <w:pStyle w:val="TextBody"/>
        <w:bidi w:val="0"/>
        <w:jc w:val="left"/>
        <w:rPr>
          <w:rFonts w:ascii="Times New Roman" w:hAnsi="Times New Roman"/>
          <w:b/>
          <w:i/>
          <w:color w:val="000000"/>
          <w:sz w:val="20"/>
        </w:rPr>
      </w:pPr>
      <w:r>
        <w:rPr>
          <w:rFonts w:ascii="Times New Roman" w:hAnsi="Times New Roman"/>
          <w:b/>
          <w:i/>
          <w:color w:val="000000"/>
          <w:sz w:val="20"/>
        </w:rPr>
        <w:t>Any potential dispute involving our patents or other intellectual property could affect our customers, which could trigger our indemnification obligations to them and result in substantial expense to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certain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pStyle w:val="TextBody"/>
        <w:bidi w:val="0"/>
        <w:jc w:val="left"/>
        <w:rPr>
          <w:rFonts w:ascii="Times New Roman" w:hAnsi="Times New Roman"/>
          <w:b/>
          <w:i/>
          <w:color w:val="000000"/>
          <w:sz w:val="20"/>
        </w:rPr>
      </w:pPr>
      <w:r>
        <w:rPr>
          <w:rFonts w:ascii="Times New Roman" w:hAnsi="Times New Roman"/>
          <w:b/>
          <w:i/>
          <w:color w:val="000000"/>
          <w:sz w:val="20"/>
        </w:rPr>
        <w:t>The use of open source software in our products, processes and technology may expose us to additional risks and compromise our proprietary intellectual property.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Ownership of Our Ordinary Shares</w:t>
      </w:r>
    </w:p>
    <w:p>
      <w:pPr>
        <w:pStyle w:val="TextBody"/>
        <w:bidi w:val="0"/>
        <w:jc w:val="left"/>
        <w:rPr>
          <w:rFonts w:ascii="Times New Roman" w:hAnsi="Times New Roman"/>
          <w:b/>
          <w:i/>
          <w:color w:val="000000"/>
          <w:sz w:val="20"/>
        </w:rPr>
      </w:pPr>
      <w:r>
        <w:rPr>
          <w:rFonts w:ascii="Times New Roman" w:hAnsi="Times New Roman"/>
          <w:b/>
          <w:i/>
          <w:color w:val="000000"/>
          <w:sz w:val="20"/>
        </w:rPr>
        <w:t>The market price of our ordinary shares may be volatile, which could cause the value of your investment to decline.</w:t>
      </w:r>
    </w:p>
    <w:p>
      <w:pPr>
        <w:pStyle w:val="TextBody"/>
        <w:bidi w:val="0"/>
        <w:jc w:val="left"/>
        <w:rPr>
          <w:rFonts w:ascii="Times New Roman" w:hAnsi="Times New Roman"/>
          <w:color w:val="000000"/>
          <w:sz w:val="20"/>
        </w:rPr>
      </w:pPr>
      <w:r>
        <w:rPr>
          <w:rFonts w:ascii="Times New Roman" w:hAnsi="Times New Roman"/>
          <w:color w:val="000000"/>
          <w:sz w:val="20"/>
        </w:rPr>
        <w:t>The market price of our ordinary shares has historically been highly volatile. The trading price of our ordinary shares is likely to remain volatile and could be subject to wide fluctuations in price in response to various factors, some of which are beyond our control.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financial estimates, including our ability to meet our future revenue and operating profit or loss projections;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operating results or those of other semiconductor or comparable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actual operating results failing to meet or exceed our guidance or investor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economic performance or market valuations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developments in the semiconductor industry as a whole;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conditions, including conditions related to the banking industry or caused by pandemics, military conflicts, high inflation, and slow or negative market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and other geopolitical activities affecting markets we address;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acquisitions, new products, significant contracts or orders, commercial relationships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or purchases of a substantial number of our ordinary shares by us, our officers, or our significant stockholders as well as the perception that such sales or purchases could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 sales of our ordinary shares, short seller reports, and related media coverage;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issuance or repurchase of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and market new and enhanced solutions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demand for our customers’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commencement of or our involvement in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 to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major change in our board of directors or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or social conditions in the markets where we sell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repurchases of our ordinary shares under our share repurchase program or failure to meet any expectations relating to our share repurchase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governmental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earnings estimates or recommendations by securities analysts or failure of securities analysts to maintain coverage of us.</w:t>
      </w:r>
    </w:p>
    <w:p>
      <w:pPr>
        <w:pStyle w:val="TextBody"/>
        <w:bidi w:val="0"/>
        <w:jc w:val="left"/>
        <w:rPr>
          <w:rFonts w:ascii="Times New Roman" w:hAnsi="Times New Roman"/>
          <w:color w:val="000000"/>
          <w:sz w:val="20"/>
        </w:rPr>
      </w:pPr>
      <w:r>
        <w:rPr>
          <w:rFonts w:ascii="Times New Roman" w:hAnsi="Times New Roman"/>
          <w:color w:val="000000"/>
          <w:sz w:val="20"/>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Provisions of our memorandum and articles of association and Cayman Islands corporate law may discourage or prevent an acquisition of us which could adversely affect the value of our ordinary shares.</w:t>
      </w:r>
    </w:p>
    <w:p>
      <w:pPr>
        <w:pStyle w:val="TextBody"/>
        <w:bidi w:val="0"/>
        <w:jc w:val="left"/>
        <w:rPr>
          <w:rFonts w:ascii="Times New Roman" w:hAnsi="Times New Roman"/>
          <w:color w:val="000000"/>
          <w:sz w:val="20"/>
        </w:rPr>
      </w:pPr>
      <w:r>
        <w:rPr>
          <w:rFonts w:ascii="Times New Roman" w:hAnsi="Times New Roman"/>
          <w:color w:val="000000"/>
          <w:sz w:val="20"/>
        </w:rPr>
        <w:t>Provisions of our memorandum and articles of association and Cayman Islands law may have the effect of delaying or preventing a change of control or changes in our management. These provisions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division of our board of directors into three classes;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 of our board of directors to elect a director to fill a vacancy created by the expansion of our board of directors or due to the resignation or departure of an existing board member;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prohibition of cumulative voting in the election of directors which would otherwise allow less than a majority of shareholders to elect director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for the advance notice of nominations for election to our board of directors or for proposing matters that can be acted upon at a shareholders’ meeting;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elimination of the rights of shareholders to call a special meeting of shareholders and to take action by written consent in lieu of a meeting;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pStyle w:val="TextBody"/>
        <w:bidi w:val="0"/>
        <w:jc w:val="left"/>
        <w:rPr>
          <w:rFonts w:ascii="Times New Roman" w:hAnsi="Times New Roman"/>
          <w:b/>
          <w:i/>
          <w:color w:val="000000"/>
          <w:sz w:val="20"/>
        </w:rPr>
      </w:pPr>
      <w:r>
        <w:rPr>
          <w:rFonts w:ascii="Times New Roman" w:hAnsi="Times New Roman"/>
          <w:b/>
          <w:i/>
          <w:color w:val="000000"/>
          <w:sz w:val="20"/>
        </w:rPr>
        <w:t>Holders of our ordinary shares may face difficulties in protecting their interests because we are incorporated under Cayman Islands law.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Subject to limited exceptions, under Cayman Islands law, a minority shareholder may not bring a derivative action against the board of directors.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adopted a share repurchase program to repurchase our ordinary shares; however, any future decisions to reduce or discontinue repurchasing our ordinary shares pursuant to such share repurchase program could cause the market price of our ordinary shares to decline.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Although our Board of Directors has authorized a share repurchase program, any determination to execute share repurchases will be subject to, among other things, our financial position and results of operations, available cash and cash flow, capital requirements, market and business conditions, share price, acquisition opportunities and other factors, as well as our Board of Director’s continuing determination that the repurchase program is in the best interests of our shareholders and is in compliance with all laws and agreements applicable to the repurchase programs. Our share repurchase program does not oblige us to acquire any particular amount of ordinary shares, and it may be suspended at any time at the Company’s discretion. If we fail to meet any expectations related to share repurchases, the market price of our ordinary shares could decline. Additionally, price volatility of our ordinary shares over a given period may cause the average price at which we repurchase our ordinary shares to exceed the share’s market price at a given point in time. We may further increase or decrease the amount of repurchases of our ordinary shares in the future. Any reduction or discontinuance by us of repurchases of our ordinary shares pursuant to our current share repurchase program could cause the market price of our ordinary shares to decline.</w:t>
      </w:r>
    </w:p>
    <w:p>
      <w:pPr>
        <w:pStyle w:val="TextBody"/>
        <w:bidi w:val="0"/>
        <w:jc w:val="left"/>
        <w:rPr>
          <w:rFonts w:ascii="Times New Roman" w:hAnsi="Times New Roman"/>
          <w:b/>
          <w:i/>
          <w:color w:val="000000"/>
          <w:sz w:val="20"/>
        </w:rPr>
      </w:pPr>
      <w:r>
        <w:rPr>
          <w:rFonts w:ascii="Times New Roman" w:hAnsi="Times New Roman"/>
          <w:b/>
          <w:i/>
          <w:color w:val="000000"/>
          <w:sz w:val="20"/>
        </w:rPr>
        <w:t>Holders of our ordinary shares may have difficulty obtaining or enforcing a judgment against us because we are incorporated under the laws of the Cayman Islands.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operations are interrupted, our business and reputation could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operations and those of our manufacturers are vulnerable to interruption caused by technical breakdowns, computer hardware and software malfunctions, software viruses, infrastructure failures, pandemics, and regional health issues, earthquakes, natural disasters, and other negative impacts from climate change, power losses, telecommunications failures, terrorist attacks, wars, Internet failures and other events beyond our control. Our operations could also be disrupted by geopolitical conditions, particularly in Taiwan or China, where the majority of our employees are located. Any disruption in our services or operations could result in a reduction in revenue, delay product development and R&amp;D, or result in a claim for substantial damages against us, regardless of whether we are responsible for that failure. If remote or work from home conditions were to continue for an extended period of time,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Climate change and climate change-related policies and regulations may have a long-term impact on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Global climate change is causing, and is projected to continue to cause, an increase in the frequency and intensity of certain natural disasters. Additionally, adverse weather, such as drought, wildfires, severe storms, sea-level rise, flooding, heat waves and cold waves, may occur more frequently and/or with greater intensity. Such extreme events are driving changes in market dynamics, and local, national and international policies and regulations, which could result in disruptions to us, our suppliers, customers, and employees. These disruptions could make it more difficult and costly for us to deliver our products, obtain components or other supplies through our supply chain, maintain, or resume operations or perform other critical corporate functions, and could reduce customer demand for our products, which would harm our business.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bookmarkStart w:id="16" w:name="stock_repurchase"/>
      <w:bookmarkEnd w:id="16"/>
      <w:r>
        <w:rPr>
          <w:rFonts w:ascii="Times New Roman" w:hAnsi="Times New Roman"/>
          <w:b/>
          <w:color w:val="000000"/>
          <w:sz w:val="20"/>
        </w:rPr>
        <w:t>ITEM 2. Unregistered Sales</w:t>
      </w:r>
      <w:r>
        <w:rPr>
          <w:rFonts w:ascii="Times New Roman" w:hAnsi="Times New Roman"/>
          <w:color w:val="000000"/>
          <w:sz w:val="20"/>
        </w:rPr>
        <w:t xml:space="preserve"> </w:t>
      </w:r>
      <w:r>
        <w:rPr>
          <w:rFonts w:ascii="Times New Roman" w:hAnsi="Times New Roman"/>
          <w:b/>
          <w:color w:val="000000"/>
          <w:sz w:val="20"/>
        </w:rPr>
        <w:t>of Equity Securities and Use of Proceeds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Purchases of Equity Securities by the Issuer and Affiliated Purchasers.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displays information with respect to repurchases of the Company’s ordinary shares during the first quarter of fiscal year 2027. There were no shares repurchased during the three months ended July 31, 2026.</w:t>
      </w:r>
    </w:p>
    <w:p>
      <w:pPr>
        <w:pStyle w:val="TextBody"/>
        <w:bidi w:val="0"/>
        <w:jc w:val="left"/>
        <w:rPr/>
      </w:pPr>
      <w:r>
        <w:rPr/>
        <w:t> </w:t>
      </w:r>
    </w:p>
    <w:p>
      <w:pPr>
        <w:pStyle w:val="TextBody"/>
        <w:bidi w:val="0"/>
        <w:jc w:val="left"/>
        <w:rPr/>
      </w:pPr>
      <w:r>
        <w:rPr/>
        <w:t> </w:t>
      </w:r>
    </w:p>
    <w:tbl>
      <w:tblPr>
        <w:tblW w:w="9619" w:type="dxa"/>
        <w:jc w:val="left"/>
        <w:tblInd w:w="0" w:type="dxa"/>
        <w:tblLayout w:type="fixed"/>
        <w:tblCellMar>
          <w:top w:w="28" w:type="dxa"/>
          <w:left w:w="28" w:type="dxa"/>
          <w:bottom w:w="28" w:type="dxa"/>
          <w:right w:w="28" w:type="dxa"/>
        </w:tblCellMar>
      </w:tblPr>
      <w:tblGrid>
        <w:gridCol w:w="3241"/>
        <w:gridCol w:w="146"/>
        <w:gridCol w:w="199"/>
        <w:gridCol w:w="926"/>
        <w:gridCol w:w="146"/>
        <w:gridCol w:w="146"/>
        <w:gridCol w:w="323"/>
        <w:gridCol w:w="877"/>
        <w:gridCol w:w="146"/>
        <w:gridCol w:w="146"/>
        <w:gridCol w:w="223"/>
        <w:gridCol w:w="1037"/>
        <w:gridCol w:w="146"/>
        <w:gridCol w:w="146"/>
        <w:gridCol w:w="429"/>
        <w:gridCol w:w="951"/>
        <w:gridCol w:w="3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 Value of</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that May</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Yet Be Purchased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Part of Publicly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Under the Plans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Announced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 Programs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Plans 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2026 to February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2026 to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to April 30,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May 29, 2025, we publicly announced a $50.0 million share repurchase program which expired on June 30, 2026 (the “Prior Program”). The repurchases from the periods in the table above were made under the Prior Program. On May 27, 2026, our Board of Directors approved a new $50.0 million share repurchase program commencing July 1, 2026 through June 30, 2027. The new repurchase program does not obligate us to acquire any particular amount of ordinary shares, and it may be suspended at any time at our discretion. Shares may be repurchased through open market purchases, 10b5-1 plans or privately negotiated transactions. Repurchases are funded using our working capital and any repurchased shares are recorded as authorized but unissued shares. As of July 31, 2026, there was $50.0 million available for repurchases under the new repurchase program through June 30,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sz w:val="18"/>
        </w:rPr>
      </w:pPr>
      <w:r>
        <w:rPr>
          <w:rFonts w:ascii="Times New Roman" w:hAnsi="Times New Roman"/>
          <w:color w:val="000000"/>
          <w:sz w:val="20"/>
        </w:rPr>
        <w:t>The average price paid per share is calculated by total cash utilized (excluding commission) divided by total shares repurchased during the period.</w:t>
      </w:r>
      <w:r>
        <w:rPr>
          <w:rFonts w:ascii="Times New Roman" w:hAnsi="Times New Roman"/>
          <w:color w:val="000000"/>
          <w:sz w:val="18"/>
        </w:rPr>
        <w:t xml:space="preserve"> </w:t>
      </w:r>
    </w:p>
    <w:p>
      <w:pPr>
        <w:pStyle w:val="TextBody"/>
        <w:bidi w:val="0"/>
        <w:jc w:val="left"/>
        <w:rPr/>
      </w:pPr>
      <w:r>
        <w:rPr/>
        <w:t> </w:t>
      </w:r>
    </w:p>
    <w:p>
      <w:pPr>
        <w:pStyle w:val="TextBody"/>
        <w:bidi w:val="0"/>
        <w:spacing w:before="180" w:after="283"/>
        <w:jc w:val="left"/>
        <w:rPr>
          <w:rFonts w:ascii="Times New Roman" w:hAnsi="Times New Roman"/>
          <w:b/>
          <w:color w:val="000000"/>
          <w:sz w:val="20"/>
        </w:rPr>
      </w:pPr>
      <w:bookmarkStart w:id="17" w:name="other_information"/>
      <w:bookmarkEnd w:id="17"/>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Securities Trading Plans of Directors and Executive Officers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our fiscal quarter ended July 31, 2026, no director or officer, as defined in Rule 16a-1(f), adopted or terminated a “Rule 10b5-1 trading arrangement” or a “non-Rule 10b5-1 trading arrangement,” each as defined in Regulation S-K Item 408.</w:t>
      </w:r>
    </w:p>
    <w:p>
      <w:pPr>
        <w:pStyle w:val="TextBody"/>
        <w:bidi w:val="0"/>
        <w:jc w:val="left"/>
        <w:rPr/>
      </w:pPr>
      <w:r>
        <w:rPr/>
        <w:t> </w:t>
      </w:r>
    </w:p>
    <w:p>
      <w:pPr>
        <w:pStyle w:val="TextBody"/>
        <w:bidi w:val="0"/>
        <w:spacing w:before="180" w:after="283"/>
        <w:jc w:val="left"/>
        <w:rPr>
          <w:rFonts w:ascii="Times New Roman" w:hAnsi="Times New Roman"/>
          <w:b/>
          <w:color w:val="000000"/>
          <w:sz w:val="20"/>
        </w:rPr>
      </w:pPr>
      <w:bookmarkStart w:id="18" w:name="exhibits"/>
      <w:bookmarkEnd w:id="18"/>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listed in the accompanying Exhibit Index are filed or incorporated by reference as part of this Quarterly Report.</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5"/>
        <w:gridCol w:w="146"/>
        <w:gridCol w:w="9224"/>
      </w:tblGrid>
      <w:tr>
        <w:trPr/>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4" w:type="dxa"/>
            <w:tcBorders/>
            <w:vAlign w:val="center"/>
          </w:tcPr>
          <w:p>
            <w:pPr>
              <w:pStyle w:val="TableContents"/>
              <w:bidi w:val="0"/>
              <w:spacing w:before="0" w:after="283"/>
              <w:jc w:val="left"/>
              <w:rPr>
                <w:sz w:val="4"/>
                <w:szCs w:val="4"/>
              </w:rPr>
            </w:pPr>
            <w:r>
              <w:rPr>
                <w:sz w:val="4"/>
                <w:szCs w:val="4"/>
              </w:rPr>
            </w:r>
          </w:p>
        </w:tc>
      </w:tr>
      <w:tr>
        <w:trPr/>
        <w:tc>
          <w:tcPr>
            <w:tcW w:w="835"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Number</w:t>
            </w:r>
          </w:p>
        </w:tc>
        <w:tc>
          <w:tcPr>
            <w:tcW w:w="937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Description</w:t>
            </w:r>
          </w:p>
        </w:tc>
      </w:tr>
      <w:tr>
        <w:trPr/>
        <w:tc>
          <w:tcPr>
            <w:tcW w:w="8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Memorandum of Association and Second Amended and Restated Articles of Association of the Registrant.</w:t>
              </w:r>
            </w:hyperlink>
          </w:p>
        </w:tc>
      </w:tr>
      <w:tr>
        <w:trPr/>
        <w:tc>
          <w:tcPr>
            <w:tcW w:w="8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4"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Ambarella, Inc. Amended and Restated 2021 Equity Incentive Plan.</w:t>
              </w:r>
            </w:hyperlink>
          </w:p>
        </w:tc>
      </w:tr>
      <w:tr>
        <w:trPr/>
        <w:tc>
          <w:tcPr>
            <w:tcW w:w="8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4" w:type="dxa"/>
            <w:tcBorders/>
            <w:tcMar>
              <w:top w:w="0" w:type="dxa"/>
              <w:left w:w="0" w:type="dxa"/>
              <w:bottom w:w="0" w:type="dxa"/>
              <w:right w:w="0" w:type="dxa"/>
            </w:tcMar>
            <w:vAlign w:val="center"/>
          </w:tcPr>
          <w:p>
            <w:pPr>
              <w:pStyle w:val="TableContents"/>
              <w:bidi w:val="0"/>
              <w:spacing w:before="0" w:after="283"/>
              <w:jc w:val="left"/>
              <w:rPr/>
            </w:pPr>
            <w:hyperlink w:anchor="amba-ex10_2.htm">
              <w:r>
                <w:rPr>
                  <w:rStyle w:val="InternetLink"/>
                  <w:rFonts w:ascii="Times New Roman" w:hAnsi="Times New Roman"/>
                  <w:color w:val="0000FF"/>
                  <w:sz w:val="20"/>
                  <w:u w:val="single"/>
                </w:rPr>
                <w:t>Amendment No. 9 to Sales Representative Agreement dated May 15, 2026 by and between Ambarella, Inc. and WT Microelectronics Co., Ltd.</w:t>
              </w:r>
            </w:hyperlink>
          </w:p>
        </w:tc>
      </w:tr>
      <w:tr>
        <w:trPr/>
        <w:tc>
          <w:tcPr>
            <w:tcW w:w="8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tcBorders/>
            <w:tcMar>
              <w:top w:w="0" w:type="dxa"/>
              <w:left w:w="0" w:type="dxa"/>
              <w:bottom w:w="0" w:type="dxa"/>
              <w:right w:w="0" w:type="dxa"/>
            </w:tcMar>
            <w:vAlign w:val="center"/>
          </w:tcPr>
          <w:p>
            <w:pPr>
              <w:pStyle w:val="TableContents"/>
              <w:bidi w:val="0"/>
              <w:spacing w:before="0" w:after="283"/>
              <w:jc w:val="left"/>
              <w:rPr/>
            </w:pPr>
            <w:hyperlink w:anchor="amba-ex31_1.htm">
              <w:r>
                <w:rPr>
                  <w:rStyle w:val="InternetLink"/>
                  <w:rFonts w:ascii="Times New Roman" w:hAnsi="Times New Roman"/>
                  <w:color w:val="0000FF"/>
                  <w:sz w:val="20"/>
                  <w:u w:val="single"/>
                </w:rPr>
                <w:t>Certification of Principal Executive Officer Required Under Rule 13a-14(a) and 15d-14(a) of the Securities Exchange Act of 1934, as amended.</w:t>
              </w:r>
            </w:hyperlink>
          </w:p>
        </w:tc>
      </w:tr>
      <w:tr>
        <w:trPr/>
        <w:tc>
          <w:tcPr>
            <w:tcW w:w="835" w:type="dxa"/>
            <w:tcBorders/>
            <w:tcMar>
              <w:top w:w="0" w:type="dxa"/>
              <w:left w:w="0" w:type="dxa"/>
              <w:bottom w:w="0" w:type="dxa"/>
              <w:right w:w="0" w:type="dxa"/>
            </w:tcMar>
            <w:vAlign w:val="center"/>
          </w:tcPr>
          <w:p>
            <w:pPr>
              <w:pStyle w:val="TableContents"/>
              <w:bidi w:val="0"/>
              <w:spacing w:before="0" w:after="283"/>
              <w:jc w:val="left"/>
              <w:rPr/>
            </w:pPr>
            <w:r>
              <w:rPr/>
              <w:t> </w:t>
            </w:r>
          </w:p>
        </w:tc>
        <w:tc>
          <w:tcPr>
            <w:tcW w:w="93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tcBorders/>
            <w:tcMar>
              <w:top w:w="0" w:type="dxa"/>
              <w:left w:w="0" w:type="dxa"/>
              <w:bottom w:w="0" w:type="dxa"/>
              <w:right w:w="0" w:type="dxa"/>
            </w:tcMar>
            <w:vAlign w:val="center"/>
          </w:tcPr>
          <w:p>
            <w:pPr>
              <w:pStyle w:val="TableContents"/>
              <w:bidi w:val="0"/>
              <w:spacing w:before="0" w:after="283"/>
              <w:jc w:val="left"/>
              <w:rPr/>
            </w:pPr>
            <w:hyperlink w:anchor="amba-ex31_2.htm">
              <w:r>
                <w:rPr>
                  <w:rStyle w:val="InternetLink"/>
                  <w:rFonts w:ascii="Times New Roman" w:hAnsi="Times New Roman"/>
                  <w:color w:val="0000FF"/>
                  <w:sz w:val="20"/>
                  <w:u w:val="single"/>
                </w:rPr>
                <w:t>Certification of Principal Financial Officer Required Under Rule 13a-14(a) and 15d-14(a) of the Securities Exchange Act of 1934, as amended.</w:t>
              </w:r>
            </w:hyperlink>
          </w:p>
        </w:tc>
      </w:tr>
      <w:tr>
        <w:trPr/>
        <w:tc>
          <w:tcPr>
            <w:tcW w:w="835" w:type="dxa"/>
            <w:tcBorders/>
            <w:tcMar>
              <w:top w:w="0" w:type="dxa"/>
              <w:left w:w="0" w:type="dxa"/>
              <w:bottom w:w="0" w:type="dxa"/>
              <w:right w:w="0" w:type="dxa"/>
            </w:tcMar>
            <w:vAlign w:val="center"/>
          </w:tcPr>
          <w:p>
            <w:pPr>
              <w:pStyle w:val="TableContents"/>
              <w:bidi w:val="0"/>
              <w:spacing w:before="0" w:after="283"/>
              <w:jc w:val="left"/>
              <w:rPr/>
            </w:pPr>
            <w:r>
              <w:rPr/>
              <w:t> </w:t>
            </w:r>
          </w:p>
        </w:tc>
        <w:tc>
          <w:tcPr>
            <w:tcW w:w="93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tcBorders/>
            <w:tcMar>
              <w:top w:w="0" w:type="dxa"/>
              <w:left w:w="0" w:type="dxa"/>
              <w:bottom w:w="0" w:type="dxa"/>
              <w:right w:w="0" w:type="dxa"/>
            </w:tcMar>
            <w:vAlign w:val="center"/>
          </w:tcPr>
          <w:p>
            <w:pPr>
              <w:pStyle w:val="TableContents"/>
              <w:bidi w:val="0"/>
              <w:spacing w:before="0" w:after="283"/>
              <w:jc w:val="left"/>
              <w:rPr/>
            </w:pPr>
            <w:hyperlink w:anchor="amba-ex32_1.htm">
              <w:r>
                <w:rPr>
                  <w:rStyle w:val="InternetLink"/>
                  <w:rFonts w:ascii="Times New Roman" w:hAnsi="Times New Roman"/>
                  <w:color w:val="0000FF"/>
                  <w:sz w:val="20"/>
                  <w:u w:val="single"/>
                </w:rPr>
                <w:t>Certification of Principal Executive Officer and Principal Financial Officer Required Under Rule 13a-14(b) of the Securities Exchange Act of 1934, as amended, and 18 U.S.C. §1350.</w:t>
              </w:r>
            </w:hyperlink>
          </w:p>
        </w:tc>
      </w:tr>
      <w:tr>
        <w:trPr/>
        <w:tc>
          <w:tcPr>
            <w:tcW w:w="835" w:type="dxa"/>
            <w:tcBorders/>
            <w:tcMar>
              <w:top w:w="0" w:type="dxa"/>
              <w:left w:w="0" w:type="dxa"/>
              <w:bottom w:w="0" w:type="dxa"/>
              <w:right w:w="0" w:type="dxa"/>
            </w:tcMar>
            <w:vAlign w:val="center"/>
          </w:tcPr>
          <w:p>
            <w:pPr>
              <w:pStyle w:val="TableContents"/>
              <w:bidi w:val="0"/>
              <w:spacing w:before="0" w:after="283"/>
              <w:jc w:val="left"/>
              <w:rPr/>
            </w:pPr>
            <w:r>
              <w:rPr/>
              <w:t> </w:t>
            </w:r>
          </w:p>
        </w:tc>
        <w:tc>
          <w:tcPr>
            <w:tcW w:w="93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835" w:type="dxa"/>
            <w:tcBorders/>
            <w:tcMar>
              <w:top w:w="0" w:type="dxa"/>
              <w:left w:w="0" w:type="dxa"/>
              <w:bottom w:w="0" w:type="dxa"/>
              <w:right w:w="0" w:type="dxa"/>
            </w:tcMar>
            <w:vAlign w:val="center"/>
          </w:tcPr>
          <w:p>
            <w:pPr>
              <w:pStyle w:val="TableContents"/>
              <w:bidi w:val="0"/>
              <w:spacing w:before="0" w:after="283"/>
              <w:jc w:val="left"/>
              <w:rPr/>
            </w:pPr>
            <w:r>
              <w:rPr/>
              <w:t> </w:t>
            </w:r>
          </w:p>
        </w:tc>
        <w:tc>
          <w:tcPr>
            <w:tcW w:w="93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Schema Linkbase Document</w:t>
            </w:r>
          </w:p>
        </w:tc>
      </w:tr>
      <w:tr>
        <w:trPr/>
        <w:tc>
          <w:tcPr>
            <w:tcW w:w="835" w:type="dxa"/>
            <w:tcBorders/>
            <w:tcMar>
              <w:top w:w="0" w:type="dxa"/>
              <w:left w:w="0" w:type="dxa"/>
              <w:bottom w:w="0" w:type="dxa"/>
              <w:right w:w="0" w:type="dxa"/>
            </w:tcMar>
            <w:vAlign w:val="center"/>
          </w:tcPr>
          <w:p>
            <w:pPr>
              <w:pStyle w:val="TableContents"/>
              <w:bidi w:val="0"/>
              <w:spacing w:before="0" w:after="283"/>
              <w:jc w:val="left"/>
              <w:rPr/>
            </w:pPr>
            <w:r>
              <w:rPr/>
              <w:t> </w:t>
            </w:r>
          </w:p>
        </w:tc>
        <w:tc>
          <w:tcPr>
            <w:tcW w:w="93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July 31, 2026, has been formatted in Inline XBRL and included in Exhibit 101.</w:t>
            </w:r>
          </w:p>
        </w:tc>
      </w:tr>
    </w:tbl>
    <w:p>
      <w:pPr>
        <w:pStyle w:val="TextBody"/>
        <w:pBdr>
          <w:bottom w:val="single" w:sz="4"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8"/>
        <w:gridCol w:w="146"/>
        <w:gridCol w:w="9761"/>
      </w:tblGrid>
      <w:tr>
        <w:trPr/>
        <w:tc>
          <w:tcPr>
            <w:tcW w:w="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1" w:type="dxa"/>
            <w:tcBorders/>
            <w:vAlign w:val="center"/>
          </w:tcPr>
          <w:p>
            <w:pPr>
              <w:pStyle w:val="TableContents"/>
              <w:bidi w:val="0"/>
              <w:spacing w:before="0" w:after="283"/>
              <w:jc w:val="left"/>
              <w:rPr>
                <w:sz w:val="4"/>
                <w:szCs w:val="4"/>
              </w:rPr>
            </w:pPr>
            <w:r>
              <w:rPr>
                <w:sz w:val="4"/>
                <w:szCs w:val="4"/>
              </w:rPr>
            </w:r>
          </w:p>
        </w:tc>
      </w:tr>
      <w:tr>
        <w:trPr/>
        <w:tc>
          <w:tcPr>
            <w:tcW w:w="2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Incorporated by reference to the Registrant’s registration statement on Form S-1 (No. 333-174838) Amendment No. 3 as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with the Securities and Exchange Commission on September 12, 2012.</w:t>
            </w:r>
          </w:p>
        </w:tc>
      </w:tr>
      <w:tr>
        <w:trPr/>
        <w:tc>
          <w:tcPr>
            <w:tcW w:w="2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Incorporated by reference on Form 8-K as filed with the Securities and Exchange Commission on July 1, 2026.</w:t>
            </w:r>
          </w:p>
        </w:tc>
      </w:tr>
      <w:tr>
        <w:trPr/>
        <w:tc>
          <w:tcPr>
            <w:tcW w:w="2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contracts or compensation plans or arrangements in which directors or executive officers are eligible to participate.</w:t>
            </w:r>
          </w:p>
        </w:tc>
      </w:tr>
      <w:tr>
        <w:trPr/>
        <w:tc>
          <w:tcPr>
            <w:tcW w:w="2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In accordance with Item 601(b)(32)(ii) of Regulation S-K and SEC Release No. 33-8238 and 34-47986, Final Rule: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Management’s Reports on Internal Control Over Financial Reporting and Certification of Disclosure in Exchange Act Periodic Reports, the certifications furnished in Exhibit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signatures"/>
      <w:bookmarkEnd w:id="19"/>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2116"/>
        <w:gridCol w:w="146"/>
        <w:gridCol w:w="146"/>
        <w:gridCol w:w="146"/>
        <w:gridCol w:w="406"/>
        <w:gridCol w:w="146"/>
        <w:gridCol w:w="289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AMBARELLA, INC.</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0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Feng-Ming Wang</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Feng-Ming Wang</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President and Chief Executive Officer</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0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John A. Young</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John A. Young</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Chief Financial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bookmarkStart w:id="20" w:name="amba-ex10_2.htm"/>
      <w:bookmarkStart w:id="21" w:name="ksambaex10_2"/>
      <w:bookmarkEnd w:id="20"/>
      <w:bookmarkEnd w:id="21"/>
      <w:r>
        <w:rPr>
          <w:rFonts w:ascii="sans-serif" w:hAnsi="sans-serif"/>
          <w:color w:val="000000"/>
          <w:sz w:val="22"/>
        </w:rPr>
        <w:t>Exhibit 10.2</w:t>
      </w:r>
      <w:r>
        <w:br w:type="page"/>
      </w:r>
    </w:p>
    <w:p>
      <w:pPr>
        <w:pStyle w:val="TextBody"/>
        <w:bidi w:val="0"/>
        <w:spacing w:before="0" w:after="200"/>
        <w:jc w:val="center"/>
        <w:rPr>
          <w:rFonts w:ascii="sans-serif" w:hAnsi="sans-serif"/>
          <w:sz w:val="22"/>
        </w:rPr>
      </w:pPr>
      <w:r>
        <w:rPr>
          <w:rFonts w:ascii="sans-serif" w:hAnsi="sans-serif"/>
          <w:b/>
          <w:caps/>
          <w:color w:val="000000"/>
          <w:sz w:val="22"/>
        </w:rPr>
        <w:t>Amendment No. 9 to</w:t>
      </w:r>
      <w:r>
        <w:rPr>
          <w:rFonts w:ascii="sans-serif" w:hAnsi="sans-serif"/>
          <w:caps/>
          <w:color w:val="000000"/>
          <w:sz w:val="22"/>
        </w:rPr>
        <w:t xml:space="preserve"> </w:t>
      </w:r>
    </w:p>
    <w:p>
      <w:pPr>
        <w:pStyle w:val="TextBody"/>
        <w:bidi w:val="0"/>
        <w:spacing w:before="0" w:after="200"/>
        <w:jc w:val="center"/>
        <w:rPr>
          <w:rFonts w:ascii="sans-serif" w:hAnsi="sans-serif"/>
          <w:b/>
          <w:caps/>
          <w:color w:val="000000"/>
          <w:sz w:val="22"/>
        </w:rPr>
      </w:pPr>
      <w:r>
        <w:rPr>
          <w:rFonts w:ascii="sans-serif" w:hAnsi="sans-serif"/>
          <w:b/>
          <w:caps/>
          <w:color w:val="000000"/>
          <w:sz w:val="22"/>
        </w:rPr>
        <w:t>Sales Representative Agreement</w:t>
      </w:r>
    </w:p>
    <w:p>
      <w:pPr>
        <w:pStyle w:val="TextBody"/>
        <w:bidi w:val="0"/>
        <w:spacing w:before="0" w:after="200"/>
        <w:jc w:val="left"/>
        <w:rPr>
          <w:rFonts w:ascii="sans-serif" w:hAnsi="sans-serif"/>
          <w:sz w:val="22"/>
        </w:rPr>
      </w:pPr>
      <w:r>
        <w:rPr>
          <w:rFonts w:ascii="sans-serif" w:hAnsi="sans-serif"/>
          <w:color w:val="000000"/>
          <w:sz w:val="22"/>
        </w:rPr>
        <w:t>This Amendment No. 9 to Sales Representative Agreement (“</w:t>
      </w:r>
      <w:r>
        <w:rPr>
          <w:rFonts w:ascii="sans-serif" w:hAnsi="sans-serif"/>
          <w:b/>
          <w:color w:val="000000"/>
          <w:sz w:val="22"/>
        </w:rPr>
        <w:t>Amendment</w:t>
      </w:r>
      <w:r>
        <w:rPr>
          <w:rFonts w:ascii="sans-serif" w:hAnsi="sans-serif"/>
          <w:color w:val="000000"/>
          <w:sz w:val="22"/>
        </w:rPr>
        <w:t>”) is entered into by and between Ambarella International LP, an Ontario, Canada limited partnership having a place of business at PO Box 309, Ugland House, Grand Cayman, KY1-1104, Cayman Islands (“</w:t>
      </w:r>
      <w:r>
        <w:rPr>
          <w:rFonts w:ascii="sans-serif" w:hAnsi="sans-serif"/>
          <w:b/>
          <w:color w:val="000000"/>
          <w:sz w:val="22"/>
        </w:rPr>
        <w:t>COMPANY</w:t>
      </w:r>
      <w:r>
        <w:rPr>
          <w:rFonts w:ascii="sans-serif" w:hAnsi="sans-serif"/>
          <w:color w:val="000000"/>
          <w:sz w:val="22"/>
        </w:rPr>
        <w:t>”), and WT Microelectronics Co., Ltd., with a place of business at 14F, No. 738, Chung Cheng Road, Chung Ho City, Taipei Hsien, Taiwan, R.O.C. (“</w:t>
      </w:r>
      <w:r>
        <w:rPr>
          <w:rFonts w:ascii="sans-serif" w:hAnsi="sans-serif"/>
          <w:b/>
          <w:color w:val="000000"/>
          <w:sz w:val="22"/>
        </w:rPr>
        <w:t>Representative</w:t>
      </w:r>
      <w:r>
        <w:rPr>
          <w:rFonts w:ascii="sans-serif" w:hAnsi="sans-serif"/>
          <w:color w:val="000000"/>
          <w:sz w:val="22"/>
        </w:rPr>
        <w:t>”).</w:t>
      </w:r>
    </w:p>
    <w:p>
      <w:pPr>
        <w:pStyle w:val="TextBody"/>
        <w:bidi w:val="0"/>
        <w:spacing w:before="0" w:after="200"/>
        <w:jc w:val="left"/>
        <w:rPr>
          <w:rFonts w:ascii="sans-serif" w:hAnsi="sans-serif"/>
          <w:sz w:val="22"/>
        </w:rPr>
      </w:pPr>
      <w:r>
        <w:rPr>
          <w:rFonts w:ascii="sans-serif" w:hAnsi="sans-serif"/>
          <w:color w:val="000000"/>
          <w:sz w:val="22"/>
        </w:rPr>
        <w:t>WHEREAS, Ambarella, Inc. (an affiliate of Ambarella International LP) and Representative entered into a Sales Representative Agreement, effective January 31, 2011, as amended by Amendment No. 1 to Sales Representative Agreement, effective February 1, 2012, Amendment No. 2 to Sales Representative Agreement, effective October 1, 2012, Amendment No. 3 to Sales Representative Agreement, effective February 1, 2013, Amendment to Extend Term of Sales Representative Agreement, effective August 1, 2015, Amendment to Sales Representative Agreement, effective June 1, 2019, Amendment No. 6 to Sales Representative Agreement, effective May 1, 2021, Amendment No. 7 to Sales Representative Agreement, effective March 6, 2023, and Amendment No. 8 to Sales Representative Agreement, effective February 1, 2026 (collectively, the “</w:t>
      </w:r>
      <w:r>
        <w:rPr>
          <w:rFonts w:ascii="sans-serif" w:hAnsi="sans-serif"/>
          <w:b/>
          <w:color w:val="000000"/>
          <w:sz w:val="22"/>
        </w:rPr>
        <w:t>Agreement</w:t>
      </w:r>
      <w:r>
        <w:rPr>
          <w:rFonts w:ascii="sans-serif" w:hAnsi="sans-serif"/>
          <w:color w:val="000000"/>
          <w:sz w:val="22"/>
        </w:rPr>
        <w:t>”), and</w:t>
      </w:r>
    </w:p>
    <w:p>
      <w:pPr>
        <w:pStyle w:val="TextBody"/>
        <w:bidi w:val="0"/>
        <w:spacing w:before="0" w:after="200"/>
        <w:jc w:val="left"/>
        <w:rPr>
          <w:rFonts w:ascii="sans-serif" w:hAnsi="sans-serif"/>
          <w:color w:val="000000"/>
          <w:sz w:val="22"/>
        </w:rPr>
      </w:pPr>
      <w:r>
        <w:rPr>
          <w:rFonts w:ascii="sans-serif" w:hAnsi="sans-serif"/>
          <w:color w:val="000000"/>
          <w:sz w:val="22"/>
        </w:rPr>
        <w:t>WHEREAS, Ambarella, Inc. assigned the Agreement to Ambarella International LP, effective December 7, 2020, and the parties now wish to amend the Agreement.</w:t>
      </w:r>
    </w:p>
    <w:p>
      <w:pPr>
        <w:pStyle w:val="TextBody"/>
        <w:bidi w:val="0"/>
        <w:spacing w:before="0" w:after="200"/>
        <w:jc w:val="left"/>
        <w:rPr>
          <w:rFonts w:ascii="sans-serif" w:hAnsi="sans-serif"/>
          <w:color w:val="000000"/>
          <w:sz w:val="22"/>
        </w:rPr>
      </w:pPr>
      <w:r>
        <w:rPr>
          <w:rFonts w:ascii="sans-serif" w:hAnsi="sans-serif"/>
          <w:color w:val="000000"/>
          <w:sz w:val="22"/>
        </w:rPr>
        <w:t>NOW, THEREFORE, in consideration of the terms and conditions set forth in this Amendment, and for other good and valuable consideration, the receipt and sufficiency of which is hereby acknowledged, the parties agree that the Agreement is hereby amended as follows:</w:t>
      </w:r>
    </w:p>
    <w:p>
      <w:pPr>
        <w:pStyle w:val="TextBody"/>
        <w:bidi w:val="0"/>
        <w:spacing w:before="0" w:after="0"/>
        <w:jc w:val="left"/>
        <w:rPr>
          <w:rFonts w:ascii="sans-serif" w:hAnsi="sans-serif"/>
          <w:color w:val="000000"/>
          <w:sz w:val="22"/>
        </w:rPr>
      </w:pPr>
      <w:r>
        <w:rPr>
          <w:rFonts w:ascii="sans-serif" w:hAnsi="sans-serif"/>
          <w:color w:val="000000"/>
          <w:sz w:val="22"/>
        </w:rPr>
        <w:t>1.</w:t>
      </w:r>
    </w:p>
    <w:p>
      <w:pPr>
        <w:pStyle w:val="TextBody"/>
        <w:bidi w:val="0"/>
        <w:spacing w:before="0" w:after="0"/>
        <w:jc w:val="left"/>
        <w:rPr>
          <w:rFonts w:ascii="sans-serif" w:hAnsi="sans-serif"/>
          <w:color w:val="000000"/>
          <w:sz w:val="22"/>
        </w:rPr>
      </w:pPr>
      <w:r>
        <w:rPr>
          <w:rFonts w:ascii="sans-serif" w:hAnsi="sans-serif"/>
          <w:color w:val="000000"/>
          <w:sz w:val="22"/>
        </w:rPr>
        <w:t>Unless otherwise defined herein, all capitalized terms set forth herein shall have the same meanings attributed to such terms in the Agreement.</w:t>
      </w:r>
    </w:p>
    <w:p>
      <w:pPr>
        <w:pStyle w:val="TextBody"/>
        <w:bidi w:val="0"/>
        <w:spacing w:before="0" w:after="0"/>
        <w:jc w:val="left"/>
        <w:rPr>
          <w:rFonts w:ascii="sans-serif" w:hAnsi="sans-serif"/>
          <w:color w:val="000000"/>
          <w:sz w:val="22"/>
        </w:rPr>
      </w:pPr>
      <w:r>
        <w:rPr>
          <w:rFonts w:ascii="sans-serif" w:hAnsi="sans-serif"/>
          <w:color w:val="000000"/>
          <w:sz w:val="22"/>
        </w:rPr>
        <w:t>2.</w:t>
      </w:r>
    </w:p>
    <w:p>
      <w:pPr>
        <w:pStyle w:val="TextBody"/>
        <w:bidi w:val="0"/>
        <w:spacing w:before="0" w:after="0"/>
        <w:jc w:val="left"/>
        <w:rPr>
          <w:rFonts w:ascii="sans-serif" w:hAnsi="sans-serif"/>
          <w:sz w:val="22"/>
        </w:rPr>
      </w:pPr>
      <w:r>
        <w:rPr>
          <w:rFonts w:ascii="sans-serif" w:hAnsi="sans-serif"/>
          <w:color w:val="000000"/>
          <w:sz w:val="22"/>
        </w:rPr>
        <w:t>This Amendment shall become effective on May 1, 2026 (“</w:t>
      </w:r>
      <w:r>
        <w:rPr>
          <w:rFonts w:ascii="sans-serif" w:hAnsi="sans-serif"/>
          <w:b/>
          <w:color w:val="000000"/>
          <w:sz w:val="22"/>
        </w:rPr>
        <w:t>Amendment Effective Date</w:t>
      </w:r>
      <w:r>
        <w:rPr>
          <w:rFonts w:ascii="sans-serif" w:hAnsi="sans-serif"/>
          <w:color w:val="000000"/>
          <w:sz w:val="22"/>
        </w:rPr>
        <w:t>”) and expire or terminate upon the expiration or termination of the Agreement. The provisions of this Amendment shall survive expiration or termination to the extent set forth in the Agreement.</w:t>
      </w:r>
    </w:p>
    <w:p>
      <w:pPr>
        <w:pStyle w:val="TextBody"/>
        <w:bidi w:val="0"/>
        <w:spacing w:before="0" w:after="0"/>
        <w:jc w:val="left"/>
        <w:rPr>
          <w:rFonts w:ascii="sans-serif" w:hAnsi="sans-serif"/>
          <w:color w:val="000000"/>
          <w:sz w:val="22"/>
        </w:rPr>
      </w:pPr>
      <w:r>
        <w:rPr>
          <w:rFonts w:ascii="sans-serif" w:hAnsi="sans-serif"/>
          <w:color w:val="000000"/>
          <w:sz w:val="22"/>
        </w:rPr>
        <w:t>3.</w:t>
      </w:r>
    </w:p>
    <w:p>
      <w:pPr>
        <w:pStyle w:val="TextBody"/>
        <w:bidi w:val="0"/>
        <w:spacing w:before="0" w:after="0"/>
        <w:jc w:val="left"/>
        <w:rPr>
          <w:rFonts w:ascii="sans-serif" w:hAnsi="sans-serif"/>
          <w:sz w:val="22"/>
        </w:rPr>
      </w:pPr>
      <w:r>
        <w:rPr>
          <w:rFonts w:ascii="sans-serif" w:hAnsi="sans-serif"/>
          <w:color w:val="000000"/>
          <w:sz w:val="22"/>
        </w:rPr>
        <w:t xml:space="preserve">Amendment of Authorized Territory. With effect from May 1, 2026, the authorized Territory of Representative under the Agreement shall be amended as set forth in </w:t>
      </w:r>
      <w:r>
        <w:rPr>
          <w:rFonts w:ascii="sans-serif" w:hAnsi="sans-serif"/>
          <w:color w:val="000000"/>
          <w:sz w:val="22"/>
          <w:u w:val="single"/>
        </w:rPr>
        <w:t>Exhibit A</w:t>
      </w:r>
      <w:r>
        <w:rPr>
          <w:rFonts w:ascii="sans-serif" w:hAnsi="sans-serif"/>
          <w:color w:val="000000"/>
          <w:sz w:val="22"/>
        </w:rPr>
        <w:t xml:space="preserve"> to this Amendment. </w:t>
      </w:r>
    </w:p>
    <w:p>
      <w:pPr>
        <w:pStyle w:val="TextBody"/>
        <w:bidi w:val="0"/>
        <w:spacing w:before="0" w:after="0"/>
        <w:jc w:val="left"/>
        <w:rPr>
          <w:rFonts w:ascii="sans-serif" w:hAnsi="sans-serif"/>
          <w:color w:val="000000"/>
          <w:sz w:val="22"/>
        </w:rPr>
      </w:pPr>
      <w:r>
        <w:rPr>
          <w:rFonts w:ascii="sans-serif" w:hAnsi="sans-serif"/>
          <w:color w:val="000000"/>
          <w:sz w:val="22"/>
        </w:rPr>
        <w:t>4.</w:t>
      </w:r>
    </w:p>
    <w:p>
      <w:pPr>
        <w:pStyle w:val="TextBody"/>
        <w:bidi w:val="0"/>
        <w:jc w:val="left"/>
        <w:rPr>
          <w:rFonts w:ascii="sans-serif" w:hAnsi="sans-serif"/>
          <w:color w:val="000000"/>
          <w:sz w:val="22"/>
        </w:rPr>
      </w:pPr>
      <w:r>
        <w:rPr>
          <w:rFonts w:ascii="sans-serif" w:hAnsi="sans-serif"/>
          <w:color w:val="000000"/>
          <w:sz w:val="22"/>
        </w:rPr>
        <w:t>Except as otherwise provided in this Amendment, all terms and conditions of the Agreement shall remain in full force and effect. To the extent this Amendment conflicts with the Agreement, the terms and conditions of this Amendment shall control.</w:t>
      </w:r>
    </w:p>
    <w:p>
      <w:pPr>
        <w:pStyle w:val="TextBody"/>
        <w:bidi w:val="0"/>
        <w:spacing w:before="0" w:after="200"/>
        <w:jc w:val="center"/>
        <w:rPr>
          <w:rFonts w:ascii="sans-serif" w:hAnsi="sans-serif"/>
          <w:sz w:val="22"/>
        </w:rPr>
      </w:pPr>
      <w:r>
        <w:rPr>
          <w:rFonts w:ascii="sans-serif" w:hAnsi="sans-serif"/>
          <w:caps/>
          <w:color w:val="000000"/>
          <w:sz w:val="22"/>
        </w:rPr>
        <w:t>[</w:t>
      </w:r>
      <w:r>
        <w:rPr>
          <w:rFonts w:ascii="sans-serif" w:hAnsi="sans-serif"/>
          <w:i/>
          <w:color w:val="000000"/>
          <w:sz w:val="22"/>
        </w:rPr>
        <w:t>signature page follows</w:t>
      </w:r>
      <w:r>
        <w:rPr>
          <w:rFonts w:ascii="sans-serif" w:hAnsi="sans-serif"/>
          <w:caps/>
          <w:color w:val="000000"/>
          <w:sz w:val="22"/>
        </w:rPr>
        <w:t>]</w:t>
      </w:r>
    </w:p>
    <w:p>
      <w:pPr>
        <w:pStyle w:val="TextBody"/>
        <w:bidi w:val="0"/>
        <w:jc w:val="center"/>
        <w:rPr>
          <w:rFonts w:ascii="sans-serif" w:hAnsi="sans-serif"/>
          <w:sz w:val="22"/>
        </w:rPr>
      </w:pPr>
      <w:r>
        <w:rPr>
          <w:rFonts w:ascii="sans-serif" w:hAnsi="sans-serif"/>
          <w:color w:val="000000"/>
          <w:sz w:val="22"/>
        </w:rPr>
        <w:t xml:space="preserve">Page </w:t>
      </w:r>
      <w:r>
        <w:rPr>
          <w:rFonts w:ascii="sans-serif" w:hAnsi="sans-serif"/>
          <w:b/>
          <w:color w:val="000000"/>
          <w:sz w:val="22"/>
        </w:rPr>
        <w:t>1</w:t>
      </w:r>
      <w:r>
        <w:rPr>
          <w:rFonts w:ascii="sans-serif" w:hAnsi="sans-serif"/>
          <w:color w:val="000000"/>
          <w:sz w:val="22"/>
        </w:rPr>
        <w:t xml:space="preserve"> of </w:t>
      </w:r>
      <w:r>
        <w:rPr>
          <w:rFonts w:ascii="sans-serif" w:hAnsi="sans-serif"/>
          <w:b/>
          <w:color w:val="000000"/>
          <w:sz w:val="22"/>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Exhibit 10.2</w:t>
      </w:r>
    </w:p>
    <w:p>
      <w:pPr>
        <w:pStyle w:val="TextBody"/>
        <w:bidi w:val="0"/>
        <w:spacing w:before="0" w:after="200"/>
        <w:jc w:val="left"/>
        <w:rPr>
          <w:rFonts w:ascii="sans-serif" w:hAnsi="sans-serif"/>
          <w:sz w:val="22"/>
        </w:rPr>
      </w:pPr>
      <w:r>
        <w:rPr>
          <w:rFonts w:ascii="sans-serif" w:hAnsi="sans-serif"/>
          <w:caps/>
          <w:color w:val="000000"/>
          <w:sz w:val="22"/>
        </w:rPr>
        <w:t>In Witness Whereof</w:t>
      </w:r>
      <w:r>
        <w:rPr>
          <w:rFonts w:ascii="sans-serif" w:hAnsi="sans-serif"/>
          <w:color w:val="000000"/>
          <w:sz w:val="22"/>
        </w:rPr>
        <w:t>, the parties have caused their duly authorized representatives to execute this Amendment No. 8 to Sales Representative Agreement as of the Amendment Effective Date.</w:t>
      </w:r>
    </w:p>
    <w:p>
      <w:pPr>
        <w:pStyle w:val="TextBody"/>
        <w:bidi w:val="0"/>
        <w:spacing w:before="0" w:after="200"/>
        <w:jc w:val="left"/>
        <w:rPr/>
      </w:pPr>
      <w:r>
        <w:rPr/>
        <w:t> </w:t>
      </w:r>
    </w:p>
    <w:tbl>
      <w:tblPr>
        <w:tblW w:w="10205" w:type="dxa"/>
        <w:jc w:val="left"/>
        <w:tblInd w:w="0" w:type="dxa"/>
        <w:tblLayout w:type="fixed"/>
        <w:tblCellMar>
          <w:top w:w="28" w:type="dxa"/>
          <w:left w:w="28" w:type="dxa"/>
          <w:bottom w:w="28" w:type="dxa"/>
          <w:right w:w="28" w:type="dxa"/>
        </w:tblCellMar>
      </w:tblPr>
      <w:tblGrid>
        <w:gridCol w:w="7213"/>
        <w:gridCol w:w="2992"/>
      </w:tblGrid>
      <w:tr>
        <w:trPr/>
        <w:tc>
          <w:tcPr>
            <w:tcW w:w="7213" w:type="dxa"/>
            <w:tcBorders/>
            <w:vAlign w:val="center"/>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r>
      <w:tr>
        <w:trPr/>
        <w:tc>
          <w:tcPr>
            <w:tcW w:w="7213" w:type="dxa"/>
            <w:tcBorders/>
            <w:tcMar>
              <w:top w:w="0" w:type="dxa"/>
              <w:left w:w="0" w:type="dxa"/>
              <w:bottom w:w="0" w:type="dxa"/>
              <w:right w:w="0" w:type="dxa"/>
            </w:tcMar>
            <w:vAlign w:val="center"/>
          </w:tcPr>
          <w:p>
            <w:pPr>
              <w:pStyle w:val="TableContents"/>
              <w:bidi w:val="0"/>
              <w:jc w:val="left"/>
              <w:rPr>
                <w:rFonts w:ascii="sans-serif" w:hAnsi="sans-serif"/>
                <w:b/>
                <w:color w:val="000000"/>
                <w:sz w:val="22"/>
              </w:rPr>
            </w:pPr>
            <w:r>
              <w:rPr>
                <w:rFonts w:ascii="sans-serif" w:hAnsi="sans-serif"/>
                <w:b/>
                <w:color w:val="000000"/>
                <w:sz w:val="22"/>
              </w:rPr>
              <w:t>Ambarella International LP</w:t>
            </w:r>
          </w:p>
          <w:p>
            <w:pPr>
              <w:pStyle w:val="TableContents"/>
              <w:bidi w:val="0"/>
              <w:spacing w:before="0" w:after="283"/>
              <w:jc w:val="left"/>
              <w:rPr>
                <w:rFonts w:ascii="sans-serif" w:hAnsi="sans-serif"/>
                <w:b/>
                <w:color w:val="000000"/>
                <w:sz w:val="22"/>
              </w:rPr>
            </w:pPr>
            <w:r>
              <w:rPr>
                <w:rFonts w:ascii="sans-serif" w:hAnsi="sans-serif"/>
                <w:b/>
                <w:color w:val="000000"/>
                <w:sz w:val="22"/>
              </w:rPr>
              <w:t>(represented by Ambarella, Inc., acting in its capacity as General Partner of Ambarella International LP)</w:t>
            </w:r>
          </w:p>
        </w:tc>
        <w:tc>
          <w:tcPr>
            <w:tcW w:w="2992"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WT Microelectronics Co., Ltd.</w:t>
            </w:r>
          </w:p>
        </w:tc>
      </w:tr>
      <w:tr>
        <w:trPr/>
        <w:tc>
          <w:tcPr>
            <w:tcW w:w="721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sans-serif" w:hAnsi="sans-serif"/>
                <w:color w:val="000000"/>
                <w:sz w:val="22"/>
              </w:rPr>
            </w:pPr>
            <w:r>
              <w:rPr>
                <w:rFonts w:ascii="sans-serif" w:hAnsi="sans-serif"/>
                <w:color w:val="000000"/>
                <w:sz w:val="22"/>
              </w:rPr>
              <w:t xml:space="preserve">By: /s/ Yun-Lung Chen </w:t>
            </w:r>
          </w:p>
        </w:tc>
        <w:tc>
          <w:tcPr>
            <w:tcW w:w="299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sans-serif" w:hAnsi="sans-serif"/>
                <w:color w:val="000000"/>
                <w:sz w:val="22"/>
              </w:rPr>
            </w:pPr>
            <w:r>
              <w:rPr>
                <w:rFonts w:ascii="sans-serif" w:hAnsi="sans-serif"/>
                <w:color w:val="000000"/>
                <w:sz w:val="22"/>
              </w:rPr>
              <w:t xml:space="preserve">By: /s/ Eric Cheng </w:t>
            </w:r>
          </w:p>
        </w:tc>
      </w:tr>
      <w:tr>
        <w:trPr/>
        <w:tc>
          <w:tcPr>
            <w:tcW w:w="721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sans-serif" w:hAnsi="sans-serif"/>
                <w:color w:val="000000"/>
                <w:sz w:val="22"/>
              </w:rPr>
            </w:pPr>
            <w:r>
              <w:rPr>
                <w:rFonts w:ascii="sans-serif" w:hAnsi="sans-serif"/>
                <w:color w:val="000000"/>
                <w:sz w:val="22"/>
              </w:rPr>
              <w:t>Name: Yun-Lung Chen</w:t>
            </w:r>
          </w:p>
        </w:tc>
        <w:tc>
          <w:tcPr>
            <w:tcW w:w="299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sans-serif" w:hAnsi="sans-serif"/>
                <w:color w:val="000000"/>
                <w:sz w:val="22"/>
              </w:rPr>
            </w:pPr>
            <w:r>
              <w:rPr>
                <w:rFonts w:ascii="sans-serif" w:hAnsi="sans-serif"/>
                <w:color w:val="000000"/>
                <w:sz w:val="22"/>
              </w:rPr>
              <w:t>Name: Eric Cheng</w:t>
            </w:r>
          </w:p>
        </w:tc>
      </w:tr>
      <w:tr>
        <w:trPr/>
        <w:tc>
          <w:tcPr>
            <w:tcW w:w="721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sans-serif" w:hAnsi="sans-serif"/>
                <w:color w:val="000000"/>
                <w:sz w:val="22"/>
              </w:rPr>
            </w:pPr>
            <w:r>
              <w:rPr>
                <w:rFonts w:ascii="sans-serif" w:hAnsi="sans-serif"/>
                <w:color w:val="000000"/>
                <w:sz w:val="22"/>
              </w:rPr>
              <w:t>Title: VP</w:t>
            </w:r>
          </w:p>
        </w:tc>
        <w:tc>
          <w:tcPr>
            <w:tcW w:w="299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sans-serif" w:hAnsi="sans-serif"/>
                <w:color w:val="000000"/>
                <w:sz w:val="22"/>
              </w:rPr>
            </w:pPr>
            <w:r>
              <w:rPr>
                <w:rFonts w:ascii="sans-serif" w:hAnsi="sans-serif"/>
                <w:color w:val="000000"/>
                <w:sz w:val="22"/>
              </w:rPr>
              <w:t>Title: Chairman and CEO</w:t>
            </w:r>
          </w:p>
        </w:tc>
      </w:tr>
      <w:tr>
        <w:trPr/>
        <w:tc>
          <w:tcPr>
            <w:tcW w:w="721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sans-serif" w:hAnsi="sans-serif"/>
                <w:color w:val="000000"/>
                <w:sz w:val="22"/>
              </w:rPr>
            </w:pPr>
            <w:r>
              <w:rPr>
                <w:rFonts w:ascii="sans-serif" w:hAnsi="sans-serif"/>
                <w:color w:val="000000"/>
                <w:sz w:val="22"/>
              </w:rPr>
              <w:t>Date: 5/2/2026</w:t>
            </w:r>
          </w:p>
        </w:tc>
        <w:tc>
          <w:tcPr>
            <w:tcW w:w="299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sans-serif" w:hAnsi="sans-serif"/>
                <w:color w:val="000000"/>
                <w:sz w:val="22"/>
              </w:rPr>
            </w:pPr>
            <w:r>
              <w:rPr>
                <w:rFonts w:ascii="sans-serif" w:hAnsi="sans-serif"/>
                <w:color w:val="000000"/>
                <w:sz w:val="22"/>
              </w:rPr>
              <w:t>Date: May 15, 2026</w:t>
            </w:r>
          </w:p>
        </w:tc>
      </w:tr>
      <w:tr>
        <w:trPr/>
        <w:tc>
          <w:tcPr>
            <w:tcW w:w="7213" w:type="dxa"/>
            <w:tcBorders/>
            <w:tcMar>
              <w:top w:w="0" w:type="dxa"/>
              <w:left w:w="0" w:type="dxa"/>
              <w:bottom w:w="0" w:type="dxa"/>
              <w:right w:w="0" w:type="dxa"/>
            </w:tcMar>
            <w:vAlign w:val="center"/>
          </w:tcPr>
          <w:p>
            <w:pPr>
              <w:pStyle w:val="TableContents"/>
              <w:bidi w:val="0"/>
              <w:spacing w:before="0" w:after="283"/>
              <w:jc w:val="left"/>
              <w:rPr/>
            </w:pPr>
            <w:r>
              <w:rPr/>
              <w:t> </w:t>
            </w:r>
          </w:p>
        </w:tc>
        <w:tc>
          <w:tcPr>
            <w:tcW w:w="29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pPr>
      <w:r>
        <w:rPr/>
        <w:t> </w:t>
      </w:r>
    </w:p>
    <w:p>
      <w:pPr>
        <w:pStyle w:val="TextBody"/>
        <w:bidi w:val="0"/>
        <w:jc w:val="center"/>
        <w:rPr>
          <w:rFonts w:ascii="sans-serif" w:hAnsi="sans-serif"/>
          <w:sz w:val="22"/>
        </w:rPr>
      </w:pPr>
      <w:r>
        <w:rPr>
          <w:rFonts w:ascii="sans-serif" w:hAnsi="sans-serif"/>
          <w:color w:val="000000"/>
          <w:sz w:val="22"/>
        </w:rPr>
        <w:t xml:space="preserve">Page </w:t>
      </w:r>
      <w:r>
        <w:rPr>
          <w:rFonts w:ascii="sans-serif" w:hAnsi="sans-serif"/>
          <w:b/>
          <w:color w:val="000000"/>
          <w:sz w:val="22"/>
        </w:rPr>
        <w:t>2</w:t>
      </w:r>
      <w:r>
        <w:rPr>
          <w:rFonts w:ascii="sans-serif" w:hAnsi="sans-serif"/>
          <w:color w:val="000000"/>
          <w:sz w:val="22"/>
        </w:rPr>
        <w:t xml:space="preserve"> of </w:t>
      </w:r>
      <w:r>
        <w:rPr>
          <w:rFonts w:ascii="sans-serif" w:hAnsi="sans-serif"/>
          <w:b/>
          <w:color w:val="000000"/>
          <w:sz w:val="22"/>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r>
        <w:rPr>
          <w:rFonts w:ascii="sans-serif" w:hAnsi="sans-serif"/>
          <w:color w:val="000000"/>
          <w:sz w:val="22"/>
        </w:rPr>
        <w:t>Exhibit 10.2</w:t>
      </w:r>
    </w:p>
    <w:p>
      <w:pPr>
        <w:pStyle w:val="TextBody"/>
        <w:bidi w:val="0"/>
        <w:spacing w:before="0" w:after="200"/>
        <w:jc w:val="center"/>
        <w:rPr>
          <w:rFonts w:ascii="sans-serif" w:hAnsi="sans-serif"/>
          <w:b/>
          <w:color w:val="000000"/>
          <w:sz w:val="22"/>
          <w:u w:val="single"/>
        </w:rPr>
      </w:pPr>
      <w:r>
        <w:rPr>
          <w:rFonts w:ascii="sans-serif" w:hAnsi="sans-serif"/>
          <w:b/>
          <w:color w:val="000000"/>
          <w:sz w:val="22"/>
          <w:u w:val="single"/>
        </w:rPr>
        <w:t>Exhibit A</w:t>
      </w:r>
    </w:p>
    <w:p>
      <w:pPr>
        <w:pStyle w:val="TextBody"/>
        <w:bidi w:val="0"/>
        <w:spacing w:before="0" w:after="200"/>
        <w:jc w:val="center"/>
        <w:rPr>
          <w:rFonts w:ascii="sans-serif" w:hAnsi="sans-serif"/>
          <w:b/>
          <w:color w:val="000000"/>
          <w:sz w:val="22"/>
        </w:rPr>
      </w:pPr>
      <w:r>
        <w:rPr>
          <w:rFonts w:ascii="sans-serif" w:hAnsi="sans-serif"/>
          <w:b/>
          <w:color w:val="000000"/>
          <w:sz w:val="22"/>
        </w:rPr>
        <w:t>TERRITORY</w:t>
      </w:r>
    </w:p>
    <w:p>
      <w:pPr>
        <w:pStyle w:val="TextBody"/>
        <w:bidi w:val="0"/>
        <w:spacing w:before="0" w:after="200"/>
        <w:jc w:val="center"/>
        <w:rPr/>
      </w:pPr>
      <w:r>
        <w:rPr/>
        <w:t> </w:t>
      </w:r>
    </w:p>
    <w:p>
      <w:pPr>
        <w:pStyle w:val="TextBody"/>
        <w:bidi w:val="0"/>
        <w:spacing w:before="0" w:after="200"/>
        <w:jc w:val="left"/>
        <w:rPr>
          <w:rFonts w:ascii="sans-serif" w:hAnsi="sans-serif"/>
          <w:color w:val="000000"/>
          <w:sz w:val="22"/>
        </w:rPr>
      </w:pPr>
      <w:r>
        <w:rPr>
          <w:rFonts w:ascii="sans-serif" w:hAnsi="sans-serif"/>
          <w:color w:val="000000"/>
          <w:sz w:val="22"/>
        </w:rPr>
        <w:t xml:space="preserve">Territory shall be Worldwide, excluding Japan, and shall be non-exclusive. The Company and Representative shall mutually agree on a list of target customers. </w:t>
      </w:r>
    </w:p>
    <w:p>
      <w:pPr>
        <w:pStyle w:val="TextBody"/>
        <w:bidi w:val="0"/>
        <w:spacing w:before="0" w:after="200"/>
        <w:jc w:val="center"/>
        <w:rPr/>
      </w:pPr>
      <w:r>
        <w:rPr/>
        <w:t> </w:t>
      </w:r>
    </w:p>
    <w:p>
      <w:pPr>
        <w:pStyle w:val="TextBody"/>
        <w:bidi w:val="0"/>
        <w:jc w:val="center"/>
        <w:rPr>
          <w:rFonts w:ascii="sans-serif" w:hAnsi="sans-serif"/>
          <w:sz w:val="22"/>
        </w:rPr>
      </w:pPr>
      <w:r>
        <w:rPr>
          <w:rFonts w:ascii="sans-serif" w:hAnsi="sans-serif"/>
          <w:color w:val="000000"/>
          <w:sz w:val="22"/>
        </w:rPr>
        <w:t xml:space="preserve">Page </w:t>
      </w:r>
      <w:r>
        <w:rPr>
          <w:rFonts w:ascii="sans-serif" w:hAnsi="sans-serif"/>
          <w:b/>
          <w:color w:val="000000"/>
          <w:sz w:val="22"/>
        </w:rPr>
        <w:t>3</w:t>
      </w:r>
      <w:r>
        <w:rPr>
          <w:rFonts w:ascii="sans-serif" w:hAnsi="sans-serif"/>
          <w:color w:val="000000"/>
          <w:sz w:val="22"/>
        </w:rPr>
        <w:t xml:space="preserve"> of </w:t>
      </w:r>
      <w:r>
        <w:rPr>
          <w:rFonts w:ascii="sans-serif" w:hAnsi="sans-serif"/>
          <w:b/>
          <w:color w:val="000000"/>
          <w:sz w:val="22"/>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amba-ex31_1.htm"/>
      <w:bookmarkStart w:id="23" w:name="ksambaex31_1"/>
      <w:bookmarkEnd w:id="22"/>
      <w:bookmarkEnd w:id="23"/>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Required Under Rule 13a-14(a) and 15d-14(a)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Feng-Ming Wang,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Ambarella,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September 4, 2026</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Feng-Ming Wang</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Feng-Ming Wang</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amba-ex31_2.htm"/>
      <w:bookmarkStart w:id="25" w:name="ksambaex31_2"/>
      <w:bookmarkEnd w:id="24"/>
      <w:bookmarkEnd w:id="25"/>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Required Under Rule 13a-14(a) and 15d-14(a)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A. Young,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Ambarella,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September 4, 2026</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A. Young</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A. Young</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amba-ex32_1.htm"/>
      <w:bookmarkStart w:id="27" w:name="ksambaex32_1"/>
      <w:bookmarkEnd w:id="26"/>
      <w:bookmarkEnd w:id="27"/>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Feng-Ming Wang, certify, pursuant to 18 U.S.C. Section 1350, as adopted pursuant to Section 906 of the Sarbanes-Oxley Act of 2002, that the Quarterly Report of Ambarella, Inc. on Form 10-Q for the fiscal quarter ended July 31,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September 4, 2026</w:t>
      </w:r>
    </w:p>
    <w:tbl>
      <w:tblPr>
        <w:tblW w:w="4003" w:type="dxa"/>
        <w:jc w:val="left"/>
        <w:tblInd w:w="0" w:type="dxa"/>
        <w:tblLayout w:type="fixed"/>
        <w:tblCellMar>
          <w:top w:w="28" w:type="dxa"/>
          <w:left w:w="28" w:type="dxa"/>
          <w:bottom w:w="28" w:type="dxa"/>
          <w:right w:w="28" w:type="dxa"/>
        </w:tblCellMar>
      </w:tblPr>
      <w:tblGrid>
        <w:gridCol w:w="646"/>
        <w:gridCol w:w="146"/>
        <w:gridCol w:w="32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Feng-Ming Wang</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Feng-Ming Wang</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A. Young, certify, pursuant to 18 U.S.C. Section 1350, as adopted pursuant to Section 906 of the Sarbanes-Oxley Act of 2002, that the Quarterly Report of Ambarella, Inc. on Form 10-Q for the fiscal quarter ended July 31,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September 4, 2026</w:t>
      </w:r>
    </w:p>
    <w:tbl>
      <w:tblPr>
        <w:tblW w:w="2803" w:type="dxa"/>
        <w:jc w:val="left"/>
        <w:tblInd w:w="0" w:type="dxa"/>
        <w:tblLayout w:type="fixed"/>
        <w:tblCellMar>
          <w:top w:w="28" w:type="dxa"/>
          <w:left w:w="28" w:type="dxa"/>
          <w:bottom w:w="28" w:type="dxa"/>
          <w:right w:w="28" w:type="dxa"/>
        </w:tblCellMar>
      </w:tblPr>
      <w:tblGrid>
        <w:gridCol w:w="646"/>
        <w:gridCol w:w="146"/>
        <w:gridCol w:w="20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A. Young</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A. Young</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280263/000119312512389774/d193541dex32.htm" TargetMode="External"/><Relationship Id="rId3" Type="http://schemas.openxmlformats.org/officeDocument/2006/relationships/hyperlink" Target="https://www.sec.gov/Archives/edgar/data/1280263/000119312526292824/d139114d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37191</Words>
  <Characters>205497</Characters>
  <CharactersWithSpaces>244144</CharactersWithSpaces>
  <Paragraphs>7293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